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78be20"/>
          <w:sz w:val="40"/>
          <w:szCs w:val="40"/>
        </w:rPr>
      </w:pPr>
      <w:r w:rsidDel="00000000" w:rsidR="00000000" w:rsidRPr="00000000">
        <w:rPr>
          <w:b w:val="1"/>
          <w:color w:val="78be20"/>
          <w:sz w:val="40"/>
          <w:szCs w:val="40"/>
          <w:rtl w:val="0"/>
        </w:rPr>
        <w:t xml:space="preserve">Commitment to Our Partners-</w:t>
      </w:r>
    </w:p>
    <w:p w:rsidR="00000000" w:rsidDel="00000000" w:rsidP="00000000" w:rsidRDefault="00000000" w:rsidRPr="00000000" w14:paraId="00000002">
      <w:pPr>
        <w:rPr>
          <w:b w:val="1"/>
          <w:color w:val="78be20"/>
          <w:sz w:val="40"/>
          <w:szCs w:val="40"/>
        </w:rPr>
      </w:pPr>
      <w:r w:rsidDel="00000000" w:rsidR="00000000" w:rsidRPr="00000000">
        <w:rPr>
          <w:b w:val="1"/>
          <w:color w:val="78be20"/>
          <w:sz w:val="40"/>
          <w:szCs w:val="40"/>
          <w:rtl w:val="0"/>
        </w:rPr>
        <w:t xml:space="preserve">Humana’s MA Plan Commission Schedule</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The 2025 AEP has brought many changes but one thing that has not changed is Humana’s commitment to you, our trusted partners.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With all the chatter surrounding non-commissionable plans this year, Humana will send out the below email to all agents reconfirming our commitment and being transparent with the plans we moved to non-commissionable for 2025.</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These plans are listed in our</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2025 Producer Partnership Plan</w:t>
        </w:r>
      </w:hyperlink>
      <w:r w:rsidDel="00000000" w:rsidR="00000000" w:rsidRPr="00000000">
        <w:rPr>
          <w:sz w:val="24"/>
          <w:szCs w:val="24"/>
          <w:rtl w:val="0"/>
        </w:rPr>
        <w:t xml:space="preserve"> released on 10/1/2024.</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For clarity, Humana has </w:t>
      </w:r>
      <w:r w:rsidDel="00000000" w:rsidR="00000000" w:rsidRPr="00000000">
        <w:rPr>
          <w:b w:val="1"/>
          <w:sz w:val="24"/>
          <w:szCs w:val="24"/>
          <w:u w:val="single"/>
          <w:rtl w:val="0"/>
        </w:rPr>
        <w:t xml:space="preserve">not</w:t>
      </w:r>
      <w:r w:rsidDel="00000000" w:rsidR="00000000" w:rsidRPr="00000000">
        <w:rPr>
          <w:sz w:val="24"/>
          <w:szCs w:val="24"/>
          <w:u w:val="single"/>
          <w:rtl w:val="0"/>
        </w:rPr>
        <w:t xml:space="preserve"> </w:t>
      </w:r>
      <w:r w:rsidDel="00000000" w:rsidR="00000000" w:rsidRPr="00000000">
        <w:rPr>
          <w:sz w:val="24"/>
          <w:szCs w:val="24"/>
          <w:rtl w:val="0"/>
        </w:rPr>
        <w:t xml:space="preserve">amended or added to this list, and </w:t>
      </w:r>
      <w:r w:rsidDel="00000000" w:rsidR="00000000" w:rsidRPr="00000000">
        <w:rPr>
          <w:b w:val="1"/>
          <w:sz w:val="24"/>
          <w:szCs w:val="24"/>
          <w:u w:val="single"/>
          <w:rtl w:val="0"/>
        </w:rPr>
        <w:t xml:space="preserve">we have no intentions of doing so</w:t>
      </w:r>
      <w:r w:rsidDel="00000000" w:rsidR="00000000" w:rsidRPr="00000000">
        <w:rPr>
          <w:sz w:val="24"/>
          <w:szCs w:val="24"/>
          <w:rtl w:val="0"/>
        </w:rPr>
        <w:t xml:space="preserve">. Our strategy is built to succeed not only in 2025, but for the long term and with your continued partnership, we can deliver for consumers in our growing industry.</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Please let us know if you have any questions or concerns. We are here to support and help you and your agents succeed this AEP!</w:t>
      </w:r>
    </w:p>
    <w:p w:rsidR="00000000" w:rsidDel="00000000" w:rsidP="00000000" w:rsidRDefault="00000000" w:rsidRPr="00000000" w14:paraId="00000009">
      <w:pPr>
        <w:spacing w:after="240" w:before="240" w:lineRule="auto"/>
        <w:rPr>
          <w:sz w:val="24"/>
          <w:szCs w:val="24"/>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[Scroll Down]</w:t>
      </w:r>
    </w:p>
    <w:p w:rsidR="00000000" w:rsidDel="00000000" w:rsidP="00000000" w:rsidRDefault="00000000" w:rsidRPr="00000000" w14:paraId="0000000B">
      <w:pPr>
        <w:jc w:val="center"/>
        <w:rPr/>
      </w:pPr>
      <w:r w:rsidDel="00000000" w:rsidR="00000000" w:rsidRPr="00000000">
        <w:rPr/>
        <w:drawing>
          <wp:inline distB="114300" distT="114300" distL="114300" distR="114300">
            <wp:extent cx="5053013" cy="635408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53013" cy="6354088"/>
                    </a:xfrm>
                    <a:prstGeom prst="rect"/>
                    <a:ln/>
                  </pic:spPr>
                </pic:pic>
              </a:graphicData>
            </a:graphic>
          </wp:inline>
        </w:drawing>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S Gothic"/>
  <w:font w:name="Malgun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240" w:before="240" w:lineRule="auto"/>
      <w:rPr>
        <w:sz w:val="16"/>
        <w:szCs w:val="16"/>
      </w:rPr>
    </w:pPr>
    <w:r w:rsidDel="00000000" w:rsidR="00000000" w:rsidRPr="00000000">
      <w:rPr>
        <w:sz w:val="16"/>
        <w:szCs w:val="16"/>
        <w:rtl w:val="0"/>
      </w:rPr>
      <w:t xml:space="preserve">The information transmitted is intended only for the person or entity to which it is addressed and may contain CONFIDENTIAL material. If you receive this material/information in error, please contact the sender and delete or destroy the material/information. Humana Inc. and its subsidiaries comply with applicable Federal civil rights laws and do not discriminate on the basis of race, color, national origin, ancestry, age, disability, sex, marital status, gender, sexual orientation, gender identity, or religion. Humana Inc. and its subsidiaries do not exclude people or treat them differently because of race, color, national origin, ancestry, age, disability, sex, marital status, gender, sexual orientation, gender identity, or religion. English: ATTENTION: If you do not speak English, language assistance services, free of charge, are available to you. Call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 Español (Spanish): ATENCIÓN: Si habla español, tiene a su disposición servicios gratuitos de asistencia lingüística. Llame al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 </w:t>
    </w:r>
    <w:r w:rsidDel="00000000" w:rsidR="00000000" w:rsidRPr="00000000">
      <w:rPr>
        <w:rFonts w:ascii="MS Gothic" w:cs="MS Gothic" w:eastAsia="MS Gothic" w:hAnsi="MS Gothic"/>
        <w:sz w:val="16"/>
        <w:szCs w:val="16"/>
        <w:rtl w:val="0"/>
      </w:rPr>
      <w:t xml:space="preserve">繁體中文</w:t>
    </w:r>
    <w:r w:rsidDel="00000000" w:rsidR="00000000" w:rsidRPr="00000000">
      <w:rPr>
        <w:sz w:val="16"/>
        <w:szCs w:val="16"/>
        <w:rtl w:val="0"/>
      </w:rPr>
      <w:t xml:space="preserve">(Chinese):</w:t>
    </w:r>
    <w:r w:rsidDel="00000000" w:rsidR="00000000" w:rsidRPr="00000000">
      <w:rPr>
        <w:rFonts w:ascii="MS Gothic" w:cs="MS Gothic" w:eastAsia="MS Gothic" w:hAnsi="MS Gothic"/>
        <w:sz w:val="16"/>
        <w:szCs w:val="16"/>
        <w:rtl w:val="0"/>
      </w:rPr>
      <w:t xml:space="preserve">注意</w:t>
    </w:r>
    <w:r w:rsidDel="00000000" w:rsidR="00000000" w:rsidRPr="00000000">
      <w:rPr>
        <w:sz w:val="16"/>
        <w:szCs w:val="16"/>
        <w:rtl w:val="0"/>
      </w:rPr>
      <w:t xml:space="preserve">:</w:t>
    </w:r>
    <w:r w:rsidDel="00000000" w:rsidR="00000000" w:rsidRPr="00000000">
      <w:rPr>
        <w:rFonts w:ascii="MS Gothic" w:cs="MS Gothic" w:eastAsia="MS Gothic" w:hAnsi="MS Gothic"/>
        <w:sz w:val="16"/>
        <w:szCs w:val="16"/>
        <w:rtl w:val="0"/>
      </w:rPr>
      <w:t xml:space="preserve">如果您使用繁體中文</w:t>
    </w:r>
    <w:r w:rsidDel="00000000" w:rsidR="00000000" w:rsidRPr="00000000">
      <w:rPr>
        <w:sz w:val="16"/>
        <w:szCs w:val="16"/>
        <w:rtl w:val="0"/>
      </w:rPr>
      <w:t xml:space="preserve">,</w:t>
    </w:r>
    <w:r w:rsidDel="00000000" w:rsidR="00000000" w:rsidRPr="00000000">
      <w:rPr>
        <w:rFonts w:ascii="MS Gothic" w:cs="MS Gothic" w:eastAsia="MS Gothic" w:hAnsi="MS Gothic"/>
        <w:sz w:val="16"/>
        <w:szCs w:val="16"/>
        <w:rtl w:val="0"/>
      </w:rPr>
      <w:t xml:space="preserve">您可以免費獲得語言援助</w:t>
    </w:r>
    <w:r w:rsidDel="00000000" w:rsidR="00000000" w:rsidRPr="00000000">
      <w:rPr>
        <w:sz w:val="16"/>
        <w:szCs w:val="16"/>
        <w:rtl w:val="0"/>
      </w:rPr>
      <w:t xml:space="preserve"> </w:t>
    </w:r>
    <w:r w:rsidDel="00000000" w:rsidR="00000000" w:rsidRPr="00000000">
      <w:rPr>
        <w:rFonts w:ascii="MS Gothic" w:cs="MS Gothic" w:eastAsia="MS Gothic" w:hAnsi="MS Gothic"/>
        <w:sz w:val="16"/>
        <w:szCs w:val="16"/>
        <w:rtl w:val="0"/>
      </w:rPr>
      <w:t xml:space="preserve">服務。請致電</w:t>
    </w:r>
    <w:r w:rsidDel="00000000" w:rsidR="00000000" w:rsidRPr="00000000">
      <w:rPr>
        <w:sz w:val="16"/>
        <w:szCs w:val="16"/>
        <w:rtl w:val="0"/>
      </w:rPr>
      <w:t xml:space="preserve">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w:t>
    </w:r>
    <w:r w:rsidDel="00000000" w:rsidR="00000000" w:rsidRPr="00000000">
      <w:rPr>
        <w:rFonts w:ascii="MS Gothic" w:cs="MS Gothic" w:eastAsia="MS Gothic" w:hAnsi="MS Gothic"/>
        <w:sz w:val="16"/>
        <w:szCs w:val="16"/>
        <w:rtl w:val="0"/>
      </w:rPr>
      <w:t xml:space="preserve">。</w:t>
    </w:r>
    <w:r w:rsidDel="00000000" w:rsidR="00000000" w:rsidRPr="00000000">
      <w:rPr>
        <w:sz w:val="16"/>
        <w:szCs w:val="16"/>
        <w:rtl w:val="0"/>
      </w:rPr>
      <w:t xml:space="preserve"> Kreyòl Ayisyen (Haitian Creole): ATANSION: Si w pale Kreyòl Ayisyen, gen sèvis èd pou lang ki disponib gratis pou ou. Rele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 Polski (Polish): UWAGA: Jeżeli mówisz po polsku, możesz skorzystać z bezpłatnej pomocy językowej. Zadzwoń pod numer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 </w:t>
    </w:r>
    <w:r w:rsidDel="00000000" w:rsidR="00000000" w:rsidRPr="00000000">
      <w:rPr>
        <w:rFonts w:ascii="Malgun Gothic" w:cs="Malgun Gothic" w:eastAsia="Malgun Gothic" w:hAnsi="Malgun Gothic"/>
        <w:sz w:val="16"/>
        <w:szCs w:val="16"/>
        <w:rtl w:val="0"/>
      </w:rPr>
      <w:t xml:space="preserve">한국어</w:t>
    </w:r>
    <w:r w:rsidDel="00000000" w:rsidR="00000000" w:rsidRPr="00000000">
      <w:rPr>
        <w:sz w:val="16"/>
        <w:szCs w:val="16"/>
        <w:rtl w:val="0"/>
      </w:rPr>
      <w:t xml:space="preserve"> (Korean): </w:t>
    </w:r>
    <w:r w:rsidDel="00000000" w:rsidR="00000000" w:rsidRPr="00000000">
      <w:rPr>
        <w:rFonts w:ascii="Malgun Gothic" w:cs="Malgun Gothic" w:eastAsia="Malgun Gothic" w:hAnsi="Malgun Gothic"/>
        <w:sz w:val="16"/>
        <w:szCs w:val="16"/>
        <w:rtl w:val="0"/>
      </w:rPr>
      <w:t xml:space="preserve">주의</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한국어를</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사용하시는</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경우</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언어</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지원</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서비스를</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무료로</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이용하실</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수</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있습니다</w:t>
    </w:r>
    <w:r w:rsidDel="00000000" w:rsidR="00000000" w:rsidRPr="00000000">
      <w:rPr>
        <w:sz w:val="16"/>
        <w:szCs w:val="16"/>
        <w:rtl w:val="0"/>
      </w:rPr>
      <w:t xml:space="preserve">. 1</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877</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320</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sz w:val="16"/>
        <w:szCs w:val="16"/>
        <w:rtl w:val="0"/>
      </w:rPr>
      <w:t xml:space="preserve">1235 (TTY: 711)</w:t>
    </w:r>
    <w:r w:rsidDel="00000000" w:rsidR="00000000" w:rsidRPr="00000000">
      <w:rPr>
        <w:rFonts w:ascii="Malgun Gothic" w:cs="Malgun Gothic" w:eastAsia="Malgun Gothic" w:hAnsi="Malgun Gothic"/>
        <w:sz w:val="16"/>
        <w:szCs w:val="16"/>
        <w:rtl w:val="0"/>
      </w:rPr>
      <w:t xml:space="preserve">번으로</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전화해</w:t>
    </w:r>
    <w:r w:rsidDel="00000000" w:rsidR="00000000" w:rsidRPr="00000000">
      <w:rPr>
        <w:sz w:val="16"/>
        <w:szCs w:val="16"/>
        <w:rtl w:val="0"/>
      </w:rPr>
      <w:t xml:space="preserve"> </w:t>
    </w:r>
    <w:r w:rsidDel="00000000" w:rsidR="00000000" w:rsidRPr="00000000">
      <w:rPr>
        <w:rFonts w:ascii="Malgun Gothic" w:cs="Malgun Gothic" w:eastAsia="Malgun Gothic" w:hAnsi="Malgun Gothic"/>
        <w:sz w:val="16"/>
        <w:szCs w:val="16"/>
        <w:rtl w:val="0"/>
      </w:rPr>
      <w:t xml:space="preserve">주십시오</w:t>
    </w:r>
    <w:r w:rsidDel="00000000" w:rsidR="00000000" w:rsidRPr="00000000">
      <w:rPr>
        <w:sz w:val="16"/>
        <w:szCs w:val="16"/>
        <w:rtl w:val="0"/>
      </w:rPr>
      <w:t xml:space="preserve">.</w:t>
    </w:r>
  </w:p>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rldefense.com/v3/__https:/assets.humana.com/is/content/humana/Humana*20Individual*20Products*20PPPpdf__;JSUl!!BgIKVS048w!rJnvMUNMy2RCws0SLxldr3EaYhclDpAExURrmRzF3d-yzsqZWt2n5QfiDGuU4LxbzLiIlxAPh0qc-qQgtw$" TargetMode="External"/><Relationship Id="rId7" Type="http://schemas.openxmlformats.org/officeDocument/2006/relationships/hyperlink" Target="https://urldefense.com/v3/__https:/assets.humana.com/is/content/humana/Humana*20Individual*20Products*20PPPpdf__;JSUl!!BgIKVS048w!rJnvMUNMy2RCws0SLxldr3EaYhclDpAExURrmRzF3d-yzsqZWt2n5QfiDGuU4LxbzLiIlxAPh0qc-qQgtw$"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