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sz w:val="24"/>
          <w:szCs w:val="24"/>
        </w:rPr>
      </w:pPr>
      <w:r w:rsidDel="00000000" w:rsidR="00000000" w:rsidRPr="00000000">
        <w:rPr>
          <w:sz w:val="24"/>
          <w:szCs w:val="24"/>
          <w:rtl w:val="0"/>
        </w:rPr>
        <w:t xml:space="preserve">Team WellCare,</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see 51 counties affected by Hurricane Milton that can be used after December 7</w:t>
      </w:r>
      <w:r w:rsidDel="00000000" w:rsidR="00000000" w:rsidRPr="00000000">
        <w:rPr>
          <w:rFonts w:ascii="Roboto" w:cs="Roboto" w:eastAsia="Roboto" w:hAnsi="Roboto"/>
          <w:sz w:val="24"/>
          <w:szCs w:val="24"/>
          <w:vertAlign w:val="superscript"/>
          <w:rtl w:val="0"/>
        </w:rPr>
        <w:t xml:space="preserve">th</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sz w:val="24"/>
          <w:szCs w:val="24"/>
          <w:rtl w:val="0"/>
        </w:rPr>
        <w:t xml:space="preserve">for anyone that missed their AEP election</w:t>
      </w:r>
      <w:r w:rsidDel="00000000" w:rsidR="00000000" w:rsidRPr="00000000">
        <w:rPr>
          <w:rFonts w:ascii="Roboto" w:cs="Roboto" w:eastAsia="Roboto" w:hAnsi="Roboto"/>
          <w:sz w:val="24"/>
          <w:szCs w:val="24"/>
          <w:rtl w:val="0"/>
        </w:rPr>
        <w:t xml:space="preserve">. This is a huge opportunity for you to add hundreds of 1/1/25 apps before the Christmas holidays. I appreciate if you would alert your downlines of this opportunity. Thanks very much.</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SEP opportunity is </w:t>
      </w:r>
      <w:r w:rsidDel="00000000" w:rsidR="00000000" w:rsidRPr="00000000">
        <w:rPr>
          <w:rFonts w:ascii="Roboto" w:cs="Roboto" w:eastAsia="Roboto" w:hAnsi="Roboto"/>
          <w:b w:val="1"/>
          <w:sz w:val="24"/>
          <w:szCs w:val="24"/>
          <w:rtl w:val="0"/>
        </w:rPr>
        <w:t xml:space="preserve">ONLY</w:t>
      </w:r>
      <w:r w:rsidDel="00000000" w:rsidR="00000000" w:rsidRPr="00000000">
        <w:rPr>
          <w:rFonts w:ascii="Roboto" w:cs="Roboto" w:eastAsia="Roboto" w:hAnsi="Roboto"/>
          <w:sz w:val="24"/>
          <w:szCs w:val="24"/>
          <w:rtl w:val="0"/>
        </w:rPr>
        <w:t xml:space="preserve"> available to beneficiaries who:​ </w:t>
      </w:r>
    </w:p>
    <w:p w:rsidR="00000000" w:rsidDel="00000000" w:rsidP="00000000" w:rsidRDefault="00000000" w:rsidRPr="00000000" w14:paraId="00000004">
      <w:pPr>
        <w:numPr>
          <w:ilvl w:val="0"/>
          <w:numId w:val="1"/>
        </w:numPr>
        <w:spacing w:after="0" w:before="0" w:line="240" w:lineRule="auto"/>
        <w:ind w:left="720" w:hanging="360"/>
        <w:rPr>
          <w:sz w:val="24"/>
          <w:szCs w:val="24"/>
        </w:rPr>
      </w:pPr>
      <w:r w:rsidDel="00000000" w:rsidR="00000000" w:rsidRPr="00000000">
        <w:rPr>
          <w:rFonts w:ascii="Roboto" w:cs="Roboto" w:eastAsia="Roboto" w:hAnsi="Roboto"/>
          <w:sz w:val="24"/>
          <w:szCs w:val="24"/>
          <w:rtl w:val="0"/>
        </w:rPr>
        <w:t xml:space="preserve">Reside, or resided at the start of the DST-SEP eligibility period described in this guidance, in an area for which a federal, state or local government entity has declared a disaster or other emergency or they do not reside in an affected area but rely on help making healthcare decisions from one or more individuals who reside in an affected area; and </w:t>
      </w:r>
    </w:p>
    <w:p w:rsidR="00000000" w:rsidDel="00000000" w:rsidP="00000000" w:rsidRDefault="00000000" w:rsidRPr="00000000" w14:paraId="00000005">
      <w:pPr>
        <w:spacing w:after="0" w:before="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before="0" w:line="240" w:lineRule="auto"/>
        <w:ind w:left="720" w:hanging="360"/>
        <w:rPr>
          <w:sz w:val="24"/>
          <w:szCs w:val="24"/>
        </w:rPr>
      </w:pPr>
      <w:r w:rsidDel="00000000" w:rsidR="00000000" w:rsidRPr="00000000">
        <w:rPr>
          <w:rFonts w:ascii="Roboto" w:cs="Roboto" w:eastAsia="Roboto" w:hAnsi="Roboto"/>
          <w:sz w:val="24"/>
          <w:szCs w:val="24"/>
          <w:rtl w:val="0"/>
        </w:rPr>
        <w:t xml:space="preserve">Were eligible for another election period at the time of the DST-SEP eligibility period, and; </w:t>
      </w:r>
    </w:p>
    <w:p w:rsidR="00000000" w:rsidDel="00000000" w:rsidP="00000000" w:rsidRDefault="00000000" w:rsidRPr="00000000" w14:paraId="00000007">
      <w:pPr>
        <w:spacing w:after="0" w:before="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numPr>
          <w:ilvl w:val="0"/>
          <w:numId w:val="1"/>
        </w:numPr>
        <w:spacing w:after="0" w:before="0" w:line="240" w:lineRule="auto"/>
        <w:ind w:left="720" w:hanging="360"/>
        <w:rPr>
          <w:sz w:val="24"/>
          <w:szCs w:val="24"/>
        </w:rPr>
      </w:pPr>
      <w:r w:rsidDel="00000000" w:rsidR="00000000" w:rsidRPr="00000000">
        <w:rPr>
          <w:rFonts w:ascii="Roboto" w:cs="Roboto" w:eastAsia="Roboto" w:hAnsi="Roboto"/>
          <w:sz w:val="24"/>
          <w:szCs w:val="24"/>
          <w:rtl w:val="0"/>
        </w:rPr>
        <w:t xml:space="preserve">Did not make an election during that other valid election period due to the disaster or other emergency</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Impacted Counties: </w:t>
      </w:r>
      <w:r w:rsidDel="00000000" w:rsidR="00000000" w:rsidRPr="00000000">
        <w:rPr>
          <w:rFonts w:ascii="Roboto" w:cs="Roboto" w:eastAsia="Roboto" w:hAnsi="Roboto"/>
          <w:sz w:val="24"/>
          <w:szCs w:val="24"/>
          <w:rtl w:val="0"/>
        </w:rPr>
        <w:t xml:space="preserve">Alachua, Baker, Bradford, Brevard, Broward, Charlotte, Citrus, Clay, Collier, Columbia, DeSoto, Dixie, Duval, Flagler, Gilchrist, Glades, Hamilton, Hardee, Hendry, Hernando, Highlands, Hillsborough, Indian River, Lafayette, Lake, Lee, Levy, Madison, Manatee, Marion, Martin, Miami-Dade, Monroe, Nassau, Okeechobee, Orange, Osceola, Palm Beach, Pasco, Pinellas, Polk, Putnam, Sarasota, Seminole, St. Johns, St. Lucie, Sumter, Suwanee, Taylor, Union, and Volusia </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sz w:val="24"/>
          <w:szCs w:val="24"/>
          <w:rtl w:val="0"/>
        </w:rPr>
        <w:t xml:space="preserve">Incident Period: </w:t>
      </w:r>
      <w:r w:rsidDel="00000000" w:rsidR="00000000" w:rsidRPr="00000000">
        <w:rPr>
          <w:rFonts w:ascii="Roboto" w:cs="Roboto" w:eastAsia="Roboto" w:hAnsi="Roboto"/>
          <w:sz w:val="24"/>
          <w:szCs w:val="24"/>
          <w:rtl w:val="0"/>
        </w:rPr>
        <w:t xml:space="preserve">The incident period is </w:t>
      </w:r>
      <w:r w:rsidDel="00000000" w:rsidR="00000000" w:rsidRPr="00000000">
        <w:rPr>
          <w:rFonts w:ascii="Roboto" w:cs="Roboto" w:eastAsia="Roboto" w:hAnsi="Roboto"/>
          <w:b w:val="1"/>
          <w:sz w:val="24"/>
          <w:szCs w:val="24"/>
          <w:rtl w:val="0"/>
        </w:rPr>
        <w:t xml:space="preserve">October 5, 2024, through December 4, 2024. </w:t>
      </w:r>
      <w:r w:rsidDel="00000000" w:rsidR="00000000" w:rsidRPr="00000000">
        <w:rPr>
          <w:rFonts w:ascii="Roboto" w:cs="Roboto" w:eastAsia="Roboto" w:hAnsi="Roboto"/>
          <w:sz w:val="24"/>
          <w:szCs w:val="24"/>
          <w:rtl w:val="0"/>
        </w:rPr>
        <w:t xml:space="preserve">The declaration was declared on </w:t>
      </w:r>
      <w:r w:rsidDel="00000000" w:rsidR="00000000" w:rsidRPr="00000000">
        <w:rPr>
          <w:rFonts w:ascii="Roboto" w:cs="Roboto" w:eastAsia="Roboto" w:hAnsi="Roboto"/>
          <w:b w:val="1"/>
          <w:sz w:val="24"/>
          <w:szCs w:val="24"/>
          <w:rtl w:val="0"/>
        </w:rPr>
        <w:t xml:space="preserve">October 5, 2024</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Timeframe:</w:t>
      </w:r>
      <w:r w:rsidDel="00000000" w:rsidR="00000000" w:rsidRPr="00000000">
        <w:rPr>
          <w:rFonts w:ascii="Roboto" w:cs="Roboto" w:eastAsia="Roboto" w:hAnsi="Roboto"/>
          <w:sz w:val="24"/>
          <w:szCs w:val="24"/>
          <w:rtl w:val="0"/>
        </w:rPr>
        <w:t xml:space="preserve"> Effective immediately, individuals meeting the requirements listed above can enroll, dis-enroll, or switch MAPD or PDP plans until</w:t>
      </w:r>
      <w:r w:rsidDel="00000000" w:rsidR="00000000" w:rsidRPr="00000000">
        <w:rPr>
          <w:rFonts w:ascii="Roboto" w:cs="Roboto" w:eastAsia="Roboto" w:hAnsi="Roboto"/>
          <w:b w:val="1"/>
          <w:sz w:val="24"/>
          <w:szCs w:val="24"/>
          <w:rtl w:val="0"/>
        </w:rPr>
        <w:t xml:space="preserve"> </w:t>
      </w:r>
      <w:r w:rsidDel="00000000" w:rsidR="00000000" w:rsidRPr="00000000">
        <w:rPr>
          <w:rFonts w:ascii="Roboto" w:cs="Roboto" w:eastAsia="Roboto" w:hAnsi="Roboto"/>
          <w:b w:val="1"/>
          <w:sz w:val="24"/>
          <w:szCs w:val="24"/>
          <w:rtl w:val="0"/>
        </w:rPr>
        <w:t xml:space="preserve">February 28, 2025.</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C">
      <w:pPr>
        <w:spacing w:after="240" w:before="240" w:line="240" w:lineRule="auto"/>
        <w:rPr>
          <w:sz w:val="24"/>
          <w:szCs w:val="24"/>
        </w:rPr>
      </w:pPr>
      <w:r w:rsidDel="00000000" w:rsidR="00000000" w:rsidRPr="00000000">
        <w:rPr>
          <w:rFonts w:ascii="Roboto" w:cs="Roboto" w:eastAsia="Roboto" w:hAnsi="Roboto"/>
          <w:b w:val="1"/>
          <w:sz w:val="24"/>
          <w:szCs w:val="24"/>
          <w:rtl w:val="0"/>
        </w:rPr>
        <w:t xml:space="preserve">*Note: </w:t>
      </w:r>
      <w:r w:rsidDel="00000000" w:rsidR="00000000" w:rsidRPr="00000000">
        <w:rPr>
          <w:rFonts w:ascii="Roboto" w:cs="Roboto" w:eastAsia="Roboto" w:hAnsi="Roboto"/>
          <w:sz w:val="24"/>
          <w:szCs w:val="24"/>
          <w:rtl w:val="0"/>
        </w:rPr>
        <w:t xml:space="preserve">Eligible enrollments will be effective the first of the month </w:t>
      </w:r>
      <w:r w:rsidDel="00000000" w:rsidR="00000000" w:rsidRPr="00000000">
        <w:rPr>
          <w:rFonts w:ascii="Roboto" w:cs="Roboto" w:eastAsia="Roboto" w:hAnsi="Roboto"/>
          <w:b w:val="1"/>
          <w:sz w:val="24"/>
          <w:szCs w:val="24"/>
          <w:rtl w:val="0"/>
        </w:rPr>
        <w:t xml:space="preserve">after</w:t>
      </w:r>
      <w:r w:rsidDel="00000000" w:rsidR="00000000" w:rsidRPr="00000000">
        <w:rPr>
          <w:rFonts w:ascii="Roboto" w:cs="Roboto" w:eastAsia="Roboto" w:hAnsi="Roboto"/>
          <w:sz w:val="24"/>
          <w:szCs w:val="24"/>
          <w:rtl w:val="0"/>
        </w:rPr>
        <w:t xml:space="preserve"> the application has been processed. </w:t>
      </w:r>
      <w:r w:rsidDel="00000000" w:rsidR="00000000" w:rsidRPr="00000000">
        <w:rPr>
          <w:sz w:val="24"/>
          <w:szCs w:val="24"/>
          <w:rtl w:val="0"/>
        </w:rPr>
        <w:t xml:space="preserve"> </w:t>
      </w:r>
    </w:p>
    <w:p w:rsidR="00000000" w:rsidDel="00000000" w:rsidP="00000000" w:rsidRDefault="00000000" w:rsidRPr="00000000" w14:paraId="0000000D">
      <w:pPr>
        <w:spacing w:after="240" w:before="240" w:line="240" w:lineRule="auto"/>
        <w:rPr>
          <w:rFonts w:ascii="Roboto" w:cs="Roboto" w:eastAsia="Roboto" w:hAnsi="Roboto"/>
          <w:b w:val="1"/>
          <w:color w:val="0070c0"/>
          <w:sz w:val="24"/>
          <w:szCs w:val="24"/>
          <w:u w:val="single"/>
        </w:rPr>
      </w:pPr>
      <w:r w:rsidDel="00000000" w:rsidR="00000000" w:rsidRPr="00000000">
        <w:rPr>
          <w:b w:val="1"/>
          <w:sz w:val="24"/>
          <w:szCs w:val="24"/>
          <w:rtl w:val="0"/>
        </w:rPr>
        <w:t xml:space="preserve">Thank You,  </w:t>
        <w:tab/>
      </w:r>
      <w:hyperlink r:id="rId6">
        <w:r w:rsidDel="00000000" w:rsidR="00000000" w:rsidRPr="00000000">
          <w:rPr>
            <w:rFonts w:ascii="Roboto" w:cs="Roboto" w:eastAsia="Roboto" w:hAnsi="Roboto"/>
            <w:b w:val="1"/>
            <w:color w:val="0070c0"/>
            <w:sz w:val="24"/>
            <w:szCs w:val="24"/>
            <w:u w:val="single"/>
            <w:rtl w:val="0"/>
          </w:rPr>
          <w:t xml:space="preserve">2025 AEP Readiness Resources</w:t>
        </w:r>
      </w:hyperlink>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652463" cy="6524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52463" cy="652463"/>
                    </a:xfrm>
                    <a:prstGeom prst="rect"/>
                    <a:ln/>
                  </pic:spPr>
                </pic:pic>
              </a:graphicData>
            </a:graphic>
          </wp:inline>
        </w:drawing>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before="240" w:line="240" w:lineRule="auto"/>
      <w:rPr>
        <w:rFonts w:ascii="Roboto" w:cs="Roboto" w:eastAsia="Roboto" w:hAnsi="Roboto"/>
        <w:color w:val="b7b7b7"/>
        <w:sz w:val="18"/>
        <w:szCs w:val="18"/>
      </w:rPr>
    </w:pPr>
    <w:r w:rsidDel="00000000" w:rsidR="00000000" w:rsidRPr="00000000">
      <w:rPr>
        <w:rFonts w:ascii="Roboto" w:cs="Roboto" w:eastAsia="Roboto" w:hAnsi="Roboto"/>
        <w:color w:val="b7b7b7"/>
        <w:sz w:val="18"/>
        <w:szCs w:val="18"/>
        <w:rtl w:val="0"/>
      </w:rPr>
      <w:t xml:space="preserve">Agent use only. Confidential and proprietary. Not to be distributed or shared with Medicare beneficiaries.</w:t>
    </w:r>
  </w:p>
  <w:p w:rsidR="00000000" w:rsidDel="00000000" w:rsidP="00000000" w:rsidRDefault="00000000" w:rsidRPr="00000000" w14:paraId="00000010">
    <w:pPr>
      <w:spacing w:line="240" w:lineRule="auto"/>
      <w:rPr>
        <w:rFonts w:ascii="Roboto" w:cs="Roboto" w:eastAsia="Roboto" w:hAnsi="Roboto"/>
        <w:color w:val="b7b7b7"/>
        <w:sz w:val="18"/>
        <w:szCs w:val="18"/>
      </w:rPr>
    </w:pPr>
    <w:r w:rsidDel="00000000" w:rsidR="00000000" w:rsidRPr="00000000">
      <w:rPr>
        <w:rFonts w:ascii="Roboto" w:cs="Roboto" w:eastAsia="Roboto" w:hAnsi="Roboto"/>
        <w:color w:val="b7b7b7"/>
        <w:sz w:val="18"/>
        <w:szCs w:val="18"/>
        <w:rtl w:val="0"/>
      </w:rPr>
      <w:t xml:space="preserve">Distribution to any person or company is prohibited and may be grounds for contract termination.</w:t>
    </w:r>
  </w:p>
  <w:p w:rsidR="00000000" w:rsidDel="00000000" w:rsidP="00000000" w:rsidRDefault="00000000" w:rsidRPr="00000000" w14:paraId="00000011">
    <w:pPr>
      <w:spacing w:line="240" w:lineRule="auto"/>
      <w:rPr>
        <w:rFonts w:ascii="Roboto" w:cs="Roboto" w:eastAsia="Roboto" w:hAnsi="Roboto"/>
        <w:color w:val="b7b7b7"/>
        <w:sz w:val="18"/>
        <w:szCs w:val="18"/>
      </w:rPr>
    </w:pPr>
    <w:r w:rsidDel="00000000" w:rsidR="00000000" w:rsidRPr="00000000">
      <w:rPr>
        <w:rFonts w:ascii="Arial Unicode MS" w:cs="Arial Unicode MS" w:eastAsia="Arial Unicode MS" w:hAnsi="Arial Unicode MS"/>
        <w:color w:val="b7b7b7"/>
        <w:sz w:val="18"/>
        <w:szCs w:val="18"/>
        <w:rtl w:val="0"/>
      </w:rPr>
      <w:t xml:space="preserve">﻿Final 2024 plan and benefit information may be discussed with beneficiaries on or after October 1.</w:t>
    </w:r>
  </w:p>
  <w:p w:rsidR="00000000" w:rsidDel="00000000" w:rsidP="00000000" w:rsidRDefault="00000000" w:rsidRPr="00000000" w14:paraId="00000012">
    <w:pPr>
      <w:spacing w:line="240" w:lineRule="auto"/>
      <w:rPr>
        <w:color w:val="b7b7b7"/>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rldefense.com/v3/__https:/click.icptrack.com/icp/relay.php?r=64053608&amp;msgid=531987&amp;act=F53B&amp;c=1781840&amp;pid=27664809&amp;destination=https*3A*2F*2F1b3050-42a8.icpage.net*2F2025-aep-readiness-resources&amp;cf=16811&amp;v=a17ffcaa8111fc7f72c253e54cd4078a2af8069ecc15e8159e2397e2fa8c5ff2__;JSUlJQ!!L0gOPXnDnA!NhGgl3MoP6EdgQl5I8UMzdXqrlIGcR1miSO3FpVN07eDOl0WShZ0dKFCpoEISROFHlQTb1cGOtXwwAYCBtZN7yIlm8eZ2I8_nfY$" TargetMode="Externa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