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color w:val="40a691"/>
          <w:sz w:val="40"/>
          <w:szCs w:val="4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114300</wp:posOffset>
            </wp:positionV>
            <wp:extent cx="1429583" cy="785813"/>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29583" cy="785813"/>
                    </a:xfrm>
                    <a:prstGeom prst="rect"/>
                    <a:ln/>
                  </pic:spPr>
                </pic:pic>
              </a:graphicData>
            </a:graphic>
          </wp:anchor>
        </w:drawing>
      </w:r>
    </w:p>
    <w:p w:rsidR="00000000" w:rsidDel="00000000" w:rsidP="00000000" w:rsidRDefault="00000000" w:rsidRPr="00000000" w14:paraId="00000002">
      <w:pPr>
        <w:jc w:val="center"/>
        <w:rPr>
          <w:b w:val="1"/>
          <w:color w:val="0096c8"/>
          <w:sz w:val="40"/>
          <w:szCs w:val="40"/>
        </w:rPr>
      </w:pPr>
      <w:r w:rsidDel="00000000" w:rsidR="00000000" w:rsidRPr="00000000">
        <w:rPr>
          <w:rtl w:val="0"/>
        </w:rPr>
      </w:r>
    </w:p>
    <w:p w:rsidR="00000000" w:rsidDel="00000000" w:rsidP="00000000" w:rsidRDefault="00000000" w:rsidRPr="00000000" w14:paraId="00000003">
      <w:pPr>
        <w:rPr>
          <w:b w:val="1"/>
          <w:color w:val="0096c8"/>
          <w:sz w:val="20"/>
          <w:szCs w:val="20"/>
        </w:rPr>
      </w:pPr>
      <w:r w:rsidDel="00000000" w:rsidR="00000000" w:rsidRPr="00000000">
        <w:rPr>
          <w:rtl w:val="0"/>
        </w:rPr>
      </w:r>
    </w:p>
    <w:p w:rsidR="00000000" w:rsidDel="00000000" w:rsidP="00000000" w:rsidRDefault="00000000" w:rsidRPr="00000000" w14:paraId="00000004">
      <w:pPr>
        <w:rPr>
          <w:b w:val="1"/>
          <w:color w:val="0096c8"/>
          <w:sz w:val="40"/>
          <w:szCs w:val="40"/>
        </w:rPr>
      </w:pPr>
      <w:r w:rsidDel="00000000" w:rsidR="00000000" w:rsidRPr="00000000">
        <w:rPr>
          <w:b w:val="1"/>
          <w:color w:val="0096c8"/>
          <w:sz w:val="40"/>
          <w:szCs w:val="40"/>
          <w:rtl w:val="0"/>
        </w:rPr>
        <w:t xml:space="preserve">Compliance Corner: Complaint Drivers and How to Avoid Them</w:t>
      </w:r>
    </w:p>
    <w:p w:rsidR="00000000" w:rsidDel="00000000" w:rsidP="00000000" w:rsidRDefault="00000000" w:rsidRPr="00000000" w14:paraId="00000005">
      <w:pPr>
        <w:rPr>
          <w:b w:val="1"/>
          <w:color w:val="ff6f21"/>
          <w:sz w:val="24"/>
          <w:szCs w:val="24"/>
        </w:rPr>
      </w:pPr>
      <w:r w:rsidDel="00000000" w:rsidR="00000000" w:rsidRPr="00000000">
        <w:rPr>
          <w:b w:val="1"/>
          <w:color w:val="ff6f21"/>
          <w:sz w:val="24"/>
          <w:szCs w:val="24"/>
          <w:rtl w:val="0"/>
        </w:rPr>
        <w:t xml:space="preserve">MCC Brokerage Compliance</w:t>
      </w:r>
    </w:p>
    <w:p w:rsidR="00000000" w:rsidDel="00000000" w:rsidP="00000000" w:rsidRDefault="00000000" w:rsidRPr="00000000" w14:paraId="00000006">
      <w:pPr>
        <w:spacing w:after="0" w:before="0" w:line="240" w:lineRule="auto"/>
        <w:rPr>
          <w:sz w:val="24"/>
          <w:szCs w:val="24"/>
        </w:rPr>
      </w:pPr>
      <w:r w:rsidDel="00000000" w:rsidR="00000000" w:rsidRPr="00000000">
        <w:rPr>
          <w:rtl w:val="0"/>
        </w:rPr>
      </w:r>
    </w:p>
    <w:p w:rsidR="00000000" w:rsidDel="00000000" w:rsidP="00000000" w:rsidRDefault="00000000" w:rsidRPr="00000000" w14:paraId="00000007">
      <w:pPr>
        <w:spacing w:after="0" w:before="0" w:line="240" w:lineRule="auto"/>
        <w:rPr>
          <w:color w:val="1f497d"/>
          <w:sz w:val="24"/>
          <w:szCs w:val="24"/>
        </w:rPr>
      </w:pPr>
      <w:r w:rsidDel="00000000" w:rsidR="00000000" w:rsidRPr="00000000">
        <w:rPr>
          <w:color w:val="1f497d"/>
          <w:sz w:val="24"/>
          <w:szCs w:val="24"/>
          <w:rtl w:val="0"/>
        </w:rPr>
        <w:t xml:space="preserve">This list is designed to provide agents with best practices to help you avoid some of the more common drivers of Complaints to Medicare (CTMs).</w:t>
      </w:r>
    </w:p>
    <w:p w:rsidR="00000000" w:rsidDel="00000000" w:rsidP="00000000" w:rsidRDefault="00000000" w:rsidRPr="00000000" w14:paraId="00000008">
      <w:pPr>
        <w:spacing w:after="0" w:before="0" w:line="240" w:lineRule="auto"/>
        <w:rPr>
          <w:color w:val="1f497d"/>
          <w:sz w:val="24"/>
          <w:szCs w:val="24"/>
        </w:rPr>
      </w:pPr>
      <w:r w:rsidDel="00000000" w:rsidR="00000000" w:rsidRPr="00000000">
        <w:rPr>
          <w:color w:val="1f497d"/>
          <w:sz w:val="24"/>
          <w:szCs w:val="24"/>
          <w:rtl w:val="0"/>
        </w:rPr>
        <w:t xml:space="preserve"> </w:t>
      </w:r>
    </w:p>
    <w:p w:rsidR="00000000" w:rsidDel="00000000" w:rsidP="00000000" w:rsidRDefault="00000000" w:rsidRPr="00000000" w14:paraId="00000009">
      <w:pPr>
        <w:spacing w:after="0" w:before="0" w:line="240" w:lineRule="auto"/>
        <w:ind w:left="0" w:firstLine="0"/>
        <w:rPr>
          <w:b w:val="1"/>
          <w:color w:val="1f497d"/>
          <w:sz w:val="24"/>
          <w:szCs w:val="24"/>
        </w:rPr>
      </w:pPr>
      <w:r w:rsidDel="00000000" w:rsidR="00000000" w:rsidRPr="00000000">
        <w:rPr>
          <w:b w:val="1"/>
          <w:color w:val="1f497d"/>
          <w:sz w:val="24"/>
          <w:szCs w:val="24"/>
          <w:rtl w:val="0"/>
        </w:rPr>
        <w:t xml:space="preserve">Presentation of Benefits</w:t>
      </w:r>
    </w:p>
    <w:p w:rsidR="00000000" w:rsidDel="00000000" w:rsidP="00000000" w:rsidRDefault="00000000" w:rsidRPr="00000000" w14:paraId="0000000A">
      <w:pPr>
        <w:numPr>
          <w:ilvl w:val="0"/>
          <w:numId w:val="1"/>
        </w:numPr>
        <w:spacing w:after="0" w:before="0" w:line="240" w:lineRule="auto"/>
        <w:ind w:left="720" w:hanging="360"/>
        <w:rPr>
          <w:color w:val="1f497d"/>
          <w:sz w:val="24"/>
          <w:szCs w:val="24"/>
          <w:u w:val="none"/>
        </w:rPr>
      </w:pPr>
      <w:r w:rsidDel="00000000" w:rsidR="00000000" w:rsidRPr="00000000">
        <w:rPr>
          <w:color w:val="1f497d"/>
          <w:sz w:val="24"/>
          <w:szCs w:val="24"/>
          <w:rtl w:val="0"/>
        </w:rPr>
        <w:t xml:space="preserve">It is important to cover the core elements of the products you offer: </w:t>
      </w:r>
    </w:p>
    <w:p w:rsidR="00000000" w:rsidDel="00000000" w:rsidP="00000000" w:rsidRDefault="00000000" w:rsidRPr="00000000" w14:paraId="0000000B">
      <w:pPr>
        <w:numPr>
          <w:ilvl w:val="1"/>
          <w:numId w:val="1"/>
        </w:numPr>
        <w:spacing w:after="0" w:before="0" w:line="240" w:lineRule="auto"/>
        <w:ind w:left="1440" w:hanging="360"/>
        <w:rPr>
          <w:color w:val="1f497d"/>
          <w:sz w:val="24"/>
          <w:szCs w:val="24"/>
        </w:rPr>
      </w:pPr>
      <w:r w:rsidDel="00000000" w:rsidR="00000000" w:rsidRPr="00000000">
        <w:rPr>
          <w:color w:val="1f497d"/>
          <w:sz w:val="24"/>
          <w:szCs w:val="24"/>
          <w:rtl w:val="0"/>
        </w:rPr>
        <w:t xml:space="preserve">Know the plan details</w:t>
      </w:r>
    </w:p>
    <w:p w:rsidR="00000000" w:rsidDel="00000000" w:rsidP="00000000" w:rsidRDefault="00000000" w:rsidRPr="00000000" w14:paraId="0000000C">
      <w:pPr>
        <w:numPr>
          <w:ilvl w:val="1"/>
          <w:numId w:val="1"/>
        </w:numPr>
        <w:spacing w:after="0" w:before="0" w:line="240" w:lineRule="auto"/>
        <w:ind w:left="1440" w:hanging="360"/>
        <w:rPr>
          <w:color w:val="1f497d"/>
          <w:sz w:val="24"/>
          <w:szCs w:val="24"/>
        </w:rPr>
      </w:pPr>
      <w:r w:rsidDel="00000000" w:rsidR="00000000" w:rsidRPr="00000000">
        <w:rPr>
          <w:color w:val="1f497d"/>
          <w:sz w:val="24"/>
          <w:szCs w:val="24"/>
          <w:rtl w:val="0"/>
        </w:rPr>
        <w:t xml:space="preserve">Communicate them clearly</w:t>
      </w:r>
    </w:p>
    <w:p w:rsidR="00000000" w:rsidDel="00000000" w:rsidP="00000000" w:rsidRDefault="00000000" w:rsidRPr="00000000" w14:paraId="0000000D">
      <w:pPr>
        <w:numPr>
          <w:ilvl w:val="1"/>
          <w:numId w:val="1"/>
        </w:numPr>
        <w:spacing w:after="0" w:before="0" w:line="240" w:lineRule="auto"/>
        <w:ind w:left="1440" w:hanging="360"/>
        <w:rPr>
          <w:color w:val="1f497d"/>
          <w:sz w:val="24"/>
          <w:szCs w:val="24"/>
        </w:rPr>
      </w:pPr>
      <w:r w:rsidDel="00000000" w:rsidR="00000000" w:rsidRPr="00000000">
        <w:rPr>
          <w:color w:val="1f497d"/>
          <w:sz w:val="24"/>
          <w:szCs w:val="24"/>
          <w:rtl w:val="0"/>
        </w:rPr>
        <w:t xml:space="preserve">Disclose all plan benefits</w:t>
      </w:r>
    </w:p>
    <w:p w:rsidR="00000000" w:rsidDel="00000000" w:rsidP="00000000" w:rsidRDefault="00000000" w:rsidRPr="00000000" w14:paraId="0000000E">
      <w:pPr>
        <w:numPr>
          <w:ilvl w:val="1"/>
          <w:numId w:val="1"/>
        </w:numPr>
        <w:spacing w:after="0" w:before="0" w:line="240" w:lineRule="auto"/>
        <w:ind w:left="1440" w:hanging="360"/>
        <w:rPr>
          <w:color w:val="1f497d"/>
          <w:sz w:val="24"/>
          <w:szCs w:val="24"/>
        </w:rPr>
      </w:pPr>
      <w:r w:rsidDel="00000000" w:rsidR="00000000" w:rsidRPr="00000000">
        <w:rPr>
          <w:color w:val="1f497d"/>
          <w:sz w:val="24"/>
          <w:szCs w:val="24"/>
          <w:rtl w:val="0"/>
        </w:rPr>
        <w:t xml:space="preserve">Confirm you are speaking with the decision-maker before beginning your presentation of benefits</w:t>
      </w:r>
    </w:p>
    <w:p w:rsidR="00000000" w:rsidDel="00000000" w:rsidP="00000000" w:rsidRDefault="00000000" w:rsidRPr="00000000" w14:paraId="0000000F">
      <w:pPr>
        <w:numPr>
          <w:ilvl w:val="1"/>
          <w:numId w:val="1"/>
        </w:numPr>
        <w:spacing w:after="0" w:before="0" w:line="240" w:lineRule="auto"/>
        <w:ind w:left="1440" w:hanging="360"/>
        <w:rPr>
          <w:color w:val="1f497d"/>
          <w:sz w:val="24"/>
          <w:szCs w:val="24"/>
        </w:rPr>
      </w:pPr>
      <w:r w:rsidDel="00000000" w:rsidR="00000000" w:rsidRPr="00000000">
        <w:rPr>
          <w:color w:val="1f497d"/>
          <w:sz w:val="24"/>
          <w:szCs w:val="24"/>
          <w:rtl w:val="0"/>
        </w:rPr>
        <w:t xml:space="preserve">Review any benefits that tend to drive customer allegations, such as:</w:t>
      </w:r>
    </w:p>
    <w:p w:rsidR="00000000" w:rsidDel="00000000" w:rsidP="00000000" w:rsidRDefault="00000000" w:rsidRPr="00000000" w14:paraId="00000010">
      <w:pPr>
        <w:numPr>
          <w:ilvl w:val="2"/>
          <w:numId w:val="1"/>
        </w:numPr>
        <w:spacing w:after="0" w:before="0" w:line="240" w:lineRule="auto"/>
        <w:ind w:left="2160" w:hanging="360"/>
        <w:rPr>
          <w:color w:val="1f497d"/>
          <w:sz w:val="24"/>
          <w:szCs w:val="24"/>
        </w:rPr>
      </w:pPr>
      <w:r w:rsidDel="00000000" w:rsidR="00000000" w:rsidRPr="00000000">
        <w:rPr>
          <w:color w:val="1f497d"/>
          <w:sz w:val="24"/>
          <w:szCs w:val="24"/>
          <w:rtl w:val="0"/>
        </w:rPr>
        <w:t xml:space="preserve">Spending account cards</w:t>
      </w:r>
    </w:p>
    <w:p w:rsidR="00000000" w:rsidDel="00000000" w:rsidP="00000000" w:rsidRDefault="00000000" w:rsidRPr="00000000" w14:paraId="00000011">
      <w:pPr>
        <w:numPr>
          <w:ilvl w:val="2"/>
          <w:numId w:val="1"/>
        </w:numPr>
        <w:spacing w:after="0" w:before="0" w:line="240" w:lineRule="auto"/>
        <w:ind w:left="2160" w:hanging="360"/>
        <w:rPr>
          <w:color w:val="1f497d"/>
          <w:sz w:val="24"/>
          <w:szCs w:val="24"/>
        </w:rPr>
      </w:pPr>
      <w:r w:rsidDel="00000000" w:rsidR="00000000" w:rsidRPr="00000000">
        <w:rPr>
          <w:color w:val="1f497d"/>
          <w:sz w:val="24"/>
          <w:szCs w:val="24"/>
          <w:rtl w:val="0"/>
        </w:rPr>
        <w:t xml:space="preserve">Dental, vision and hearing benefits</w:t>
      </w:r>
    </w:p>
    <w:p w:rsidR="00000000" w:rsidDel="00000000" w:rsidP="00000000" w:rsidRDefault="00000000" w:rsidRPr="00000000" w14:paraId="00000012">
      <w:pPr>
        <w:numPr>
          <w:ilvl w:val="2"/>
          <w:numId w:val="1"/>
        </w:numPr>
        <w:spacing w:after="0" w:before="0" w:line="240" w:lineRule="auto"/>
        <w:ind w:left="2160" w:hanging="360"/>
        <w:rPr>
          <w:color w:val="1f497d"/>
          <w:sz w:val="24"/>
          <w:szCs w:val="24"/>
        </w:rPr>
      </w:pPr>
      <w:r w:rsidDel="00000000" w:rsidR="00000000" w:rsidRPr="00000000">
        <w:rPr>
          <w:color w:val="1f497d"/>
          <w:sz w:val="24"/>
          <w:szCs w:val="24"/>
          <w:rtl w:val="0"/>
        </w:rPr>
        <w:t xml:space="preserve">Transportation benefits</w:t>
      </w:r>
    </w:p>
    <w:p w:rsidR="00000000" w:rsidDel="00000000" w:rsidP="00000000" w:rsidRDefault="00000000" w:rsidRPr="00000000" w14:paraId="00000013">
      <w:pPr>
        <w:spacing w:after="0" w:before="0" w:line="240" w:lineRule="auto"/>
        <w:ind w:left="0" w:firstLine="0"/>
        <w:rPr>
          <w:color w:val="1f497d"/>
          <w:sz w:val="24"/>
          <w:szCs w:val="24"/>
        </w:rPr>
      </w:pPr>
      <w:r w:rsidDel="00000000" w:rsidR="00000000" w:rsidRPr="00000000">
        <w:rPr>
          <w:rtl w:val="0"/>
        </w:rPr>
      </w:r>
    </w:p>
    <w:p w:rsidR="00000000" w:rsidDel="00000000" w:rsidP="00000000" w:rsidRDefault="00000000" w:rsidRPr="00000000" w14:paraId="00000014">
      <w:pPr>
        <w:spacing w:after="0" w:before="0" w:line="240" w:lineRule="auto"/>
        <w:ind w:left="0" w:firstLine="0"/>
        <w:rPr>
          <w:b w:val="1"/>
          <w:color w:val="1f497d"/>
          <w:sz w:val="24"/>
          <w:szCs w:val="24"/>
        </w:rPr>
      </w:pPr>
      <w:r w:rsidDel="00000000" w:rsidR="00000000" w:rsidRPr="00000000">
        <w:rPr>
          <w:b w:val="1"/>
          <w:color w:val="1f497d"/>
          <w:sz w:val="24"/>
          <w:szCs w:val="24"/>
          <w:rtl w:val="0"/>
        </w:rPr>
        <w:t xml:space="preserve">Enrollment with a Decision Maker</w:t>
      </w:r>
    </w:p>
    <w:p w:rsidR="00000000" w:rsidDel="00000000" w:rsidP="00000000" w:rsidRDefault="00000000" w:rsidRPr="00000000" w14:paraId="00000015">
      <w:pPr>
        <w:numPr>
          <w:ilvl w:val="0"/>
          <w:numId w:val="1"/>
        </w:numPr>
        <w:spacing w:after="0" w:before="0" w:line="240" w:lineRule="auto"/>
        <w:ind w:left="720" w:hanging="360"/>
        <w:rPr>
          <w:color w:val="1f497d"/>
          <w:sz w:val="24"/>
          <w:szCs w:val="24"/>
          <w:u w:val="none"/>
        </w:rPr>
      </w:pPr>
      <w:r w:rsidDel="00000000" w:rsidR="00000000" w:rsidRPr="00000000">
        <w:rPr>
          <w:color w:val="1f497d"/>
          <w:sz w:val="24"/>
          <w:szCs w:val="24"/>
          <w:rtl w:val="0"/>
        </w:rPr>
        <w:t xml:space="preserve">It is important to directly ask the beneficiary if they make their own healthcare decisions</w:t>
      </w:r>
    </w:p>
    <w:p w:rsidR="00000000" w:rsidDel="00000000" w:rsidP="00000000" w:rsidRDefault="00000000" w:rsidRPr="00000000" w14:paraId="00000016">
      <w:pPr>
        <w:numPr>
          <w:ilvl w:val="1"/>
          <w:numId w:val="1"/>
        </w:numPr>
        <w:spacing w:after="0" w:before="0" w:line="240" w:lineRule="auto"/>
        <w:ind w:left="1440" w:hanging="360"/>
        <w:rPr>
          <w:color w:val="1f497d"/>
          <w:sz w:val="24"/>
          <w:szCs w:val="24"/>
        </w:rPr>
      </w:pPr>
      <w:r w:rsidDel="00000000" w:rsidR="00000000" w:rsidRPr="00000000">
        <w:rPr>
          <w:color w:val="1f497d"/>
          <w:sz w:val="24"/>
          <w:szCs w:val="24"/>
          <w:rtl w:val="0"/>
        </w:rPr>
        <w:t xml:space="preserve">If the beneficiary has a POA or Legal Guardian present during the enrollment process, ask the POA or Legal Guardian if they are legally authorized to act on behalf of the beneficiary and if they can provide proof, if requested by CMS later</w:t>
      </w:r>
    </w:p>
    <w:p w:rsidR="00000000" w:rsidDel="00000000" w:rsidP="00000000" w:rsidRDefault="00000000" w:rsidRPr="00000000" w14:paraId="00000017">
      <w:pPr>
        <w:spacing w:after="0" w:before="0" w:line="240" w:lineRule="auto"/>
        <w:ind w:left="720" w:firstLine="0"/>
        <w:rPr>
          <w:color w:val="1f497d"/>
          <w:sz w:val="24"/>
          <w:szCs w:val="24"/>
        </w:rPr>
      </w:pPr>
      <w:r w:rsidDel="00000000" w:rsidR="00000000" w:rsidRPr="00000000">
        <w:rPr>
          <w:rtl w:val="0"/>
        </w:rPr>
      </w:r>
    </w:p>
    <w:p w:rsidR="00000000" w:rsidDel="00000000" w:rsidP="00000000" w:rsidRDefault="00000000" w:rsidRPr="00000000" w14:paraId="00000018">
      <w:pPr>
        <w:spacing w:after="0" w:before="0" w:line="240" w:lineRule="auto"/>
        <w:ind w:left="0" w:firstLine="0"/>
        <w:rPr>
          <w:b w:val="1"/>
          <w:color w:val="1f497d"/>
          <w:sz w:val="24"/>
          <w:szCs w:val="24"/>
        </w:rPr>
      </w:pPr>
      <w:r w:rsidDel="00000000" w:rsidR="00000000" w:rsidRPr="00000000">
        <w:rPr>
          <w:b w:val="1"/>
          <w:color w:val="1f497d"/>
          <w:sz w:val="24"/>
          <w:szCs w:val="24"/>
          <w:rtl w:val="0"/>
        </w:rPr>
        <w:t xml:space="preserve">Late Enrollment Penalty (LEP)</w:t>
      </w:r>
    </w:p>
    <w:p w:rsidR="00000000" w:rsidDel="00000000" w:rsidP="00000000" w:rsidRDefault="00000000" w:rsidRPr="00000000" w14:paraId="00000019">
      <w:pPr>
        <w:numPr>
          <w:ilvl w:val="0"/>
          <w:numId w:val="1"/>
        </w:numPr>
        <w:spacing w:after="0" w:before="0" w:line="240" w:lineRule="auto"/>
        <w:ind w:left="720" w:hanging="360"/>
        <w:rPr>
          <w:color w:val="1f497d"/>
          <w:sz w:val="24"/>
          <w:szCs w:val="24"/>
          <w:u w:val="none"/>
        </w:rPr>
      </w:pPr>
      <w:r w:rsidDel="00000000" w:rsidR="00000000" w:rsidRPr="00000000">
        <w:rPr>
          <w:color w:val="1f497d"/>
          <w:sz w:val="24"/>
          <w:szCs w:val="24"/>
          <w:rtl w:val="0"/>
        </w:rPr>
        <w:t xml:space="preserve">Medicare beneficiaries who do not have creditable drug coverage may incur a late enrollment penalty (LEP) if there is a continuous period of 63 days or more, at any time, after the end of the individual’s Part D initial enrollment period during which the individual was eligible to enroll, but was not enrolled in a Medicare Part D plan and was not covered under any creditable prescription drug coverage </w:t>
      </w:r>
    </w:p>
    <w:p w:rsidR="00000000" w:rsidDel="00000000" w:rsidP="00000000" w:rsidRDefault="00000000" w:rsidRPr="00000000" w14:paraId="0000001A">
      <w:pPr>
        <w:numPr>
          <w:ilvl w:val="1"/>
          <w:numId w:val="1"/>
        </w:numPr>
        <w:spacing w:after="0" w:before="0" w:line="240" w:lineRule="auto"/>
        <w:ind w:left="1440" w:hanging="360"/>
        <w:rPr>
          <w:color w:val="1f497d"/>
          <w:sz w:val="24"/>
          <w:szCs w:val="24"/>
        </w:rPr>
      </w:pPr>
      <w:r w:rsidDel="00000000" w:rsidR="00000000" w:rsidRPr="00000000">
        <w:rPr>
          <w:color w:val="1f497d"/>
          <w:sz w:val="24"/>
          <w:szCs w:val="24"/>
          <w:rtl w:val="0"/>
        </w:rPr>
        <w:t xml:space="preserve">It is important to inform enrollees about the potential for this penalty so the member will not be surprised if CMS imposes an assessment for the LEP</w:t>
      </w:r>
    </w:p>
    <w:p w:rsidR="00000000" w:rsidDel="00000000" w:rsidP="00000000" w:rsidRDefault="00000000" w:rsidRPr="00000000" w14:paraId="0000001B">
      <w:pPr>
        <w:spacing w:after="0" w:before="0" w:line="240" w:lineRule="auto"/>
        <w:ind w:left="720" w:firstLine="0"/>
        <w:rPr>
          <w:b w:val="1"/>
          <w:color w:val="1f497d"/>
          <w:sz w:val="24"/>
          <w:szCs w:val="24"/>
        </w:rPr>
      </w:pPr>
      <w:r w:rsidDel="00000000" w:rsidR="00000000" w:rsidRPr="00000000">
        <w:rPr>
          <w:rtl w:val="0"/>
        </w:rPr>
      </w:r>
    </w:p>
    <w:p w:rsidR="00000000" w:rsidDel="00000000" w:rsidP="00000000" w:rsidRDefault="00000000" w:rsidRPr="00000000" w14:paraId="0000001C">
      <w:pPr>
        <w:spacing w:after="0" w:before="0" w:line="240" w:lineRule="auto"/>
        <w:ind w:left="0" w:firstLine="0"/>
        <w:rPr>
          <w:b w:val="1"/>
          <w:color w:val="1f497d"/>
          <w:sz w:val="24"/>
          <w:szCs w:val="24"/>
        </w:rPr>
      </w:pPr>
      <w:r w:rsidDel="00000000" w:rsidR="00000000" w:rsidRPr="00000000">
        <w:rPr>
          <w:rtl w:val="0"/>
        </w:rPr>
      </w:r>
    </w:p>
    <w:p w:rsidR="00000000" w:rsidDel="00000000" w:rsidP="00000000" w:rsidRDefault="00000000" w:rsidRPr="00000000" w14:paraId="0000001D">
      <w:pPr>
        <w:spacing w:after="0" w:before="0" w:line="240" w:lineRule="auto"/>
        <w:ind w:left="0" w:firstLine="0"/>
        <w:rPr>
          <w:b w:val="1"/>
          <w:color w:val="1f497d"/>
          <w:sz w:val="24"/>
          <w:szCs w:val="24"/>
        </w:rPr>
      </w:pPr>
      <w:r w:rsidDel="00000000" w:rsidR="00000000" w:rsidRPr="00000000">
        <w:rPr>
          <w:rtl w:val="0"/>
        </w:rPr>
      </w:r>
    </w:p>
    <w:p w:rsidR="00000000" w:rsidDel="00000000" w:rsidP="00000000" w:rsidRDefault="00000000" w:rsidRPr="00000000" w14:paraId="0000001E">
      <w:pPr>
        <w:spacing w:after="0" w:before="0" w:line="240" w:lineRule="auto"/>
        <w:ind w:left="0" w:firstLine="0"/>
        <w:rPr>
          <w:b w:val="1"/>
          <w:color w:val="1f497d"/>
          <w:sz w:val="24"/>
          <w:szCs w:val="24"/>
        </w:rPr>
      </w:pPr>
      <w:r w:rsidDel="00000000" w:rsidR="00000000" w:rsidRPr="00000000">
        <w:rPr>
          <w:rtl w:val="0"/>
        </w:rPr>
      </w:r>
    </w:p>
    <w:p w:rsidR="00000000" w:rsidDel="00000000" w:rsidP="00000000" w:rsidRDefault="00000000" w:rsidRPr="00000000" w14:paraId="0000001F">
      <w:pPr>
        <w:spacing w:after="0" w:before="0" w:line="240" w:lineRule="auto"/>
        <w:ind w:left="0" w:firstLine="0"/>
        <w:rPr>
          <w:b w:val="1"/>
          <w:color w:val="1f497d"/>
          <w:sz w:val="24"/>
          <w:szCs w:val="24"/>
        </w:rPr>
      </w:pPr>
      <w:r w:rsidDel="00000000" w:rsidR="00000000" w:rsidRPr="00000000">
        <w:rPr>
          <w:b w:val="1"/>
          <w:color w:val="1f497d"/>
          <w:sz w:val="24"/>
          <w:szCs w:val="24"/>
          <w:rtl w:val="0"/>
        </w:rPr>
        <w:t xml:space="preserve">Chronic Care SNP</w:t>
      </w:r>
    </w:p>
    <w:p w:rsidR="00000000" w:rsidDel="00000000" w:rsidP="00000000" w:rsidRDefault="00000000" w:rsidRPr="00000000" w14:paraId="00000020">
      <w:pPr>
        <w:spacing w:after="0" w:before="0" w:line="240" w:lineRule="auto"/>
        <w:ind w:left="0" w:firstLine="0"/>
        <w:rPr>
          <w:color w:val="1f497d"/>
          <w:sz w:val="24"/>
          <w:szCs w:val="24"/>
        </w:rPr>
      </w:pPr>
      <w:r w:rsidDel="00000000" w:rsidR="00000000" w:rsidRPr="00000000">
        <w:rPr>
          <w:color w:val="1f497d"/>
          <w:sz w:val="24"/>
          <w:szCs w:val="24"/>
          <w:rtl w:val="0"/>
        </w:rPr>
        <w:t xml:space="preserve">Explain the eligibility requirements to the beneficiary to enroll in or remain enrolled in a C-SNP</w:t>
      </w:r>
    </w:p>
    <w:p w:rsidR="00000000" w:rsidDel="00000000" w:rsidP="00000000" w:rsidRDefault="00000000" w:rsidRPr="00000000" w14:paraId="00000021">
      <w:pPr>
        <w:numPr>
          <w:ilvl w:val="0"/>
          <w:numId w:val="2"/>
        </w:numPr>
        <w:spacing w:after="0" w:before="0" w:line="240" w:lineRule="auto"/>
        <w:ind w:left="720" w:hanging="360"/>
        <w:rPr>
          <w:color w:val="1f497d"/>
          <w:sz w:val="24"/>
          <w:szCs w:val="24"/>
        </w:rPr>
      </w:pPr>
      <w:r w:rsidDel="00000000" w:rsidR="00000000" w:rsidRPr="00000000">
        <w:rPr>
          <w:color w:val="1f497d"/>
          <w:sz w:val="24"/>
          <w:szCs w:val="24"/>
          <w:rtl w:val="0"/>
        </w:rPr>
        <w:t xml:space="preserve">Make sure applicants/members clearly understand their role in providing their physician with the Verification of Chronic Condition (VCC) form to be completed and returned to the plan/insurer</w:t>
      </w:r>
    </w:p>
    <w:p w:rsidR="00000000" w:rsidDel="00000000" w:rsidP="00000000" w:rsidRDefault="00000000" w:rsidRPr="00000000" w14:paraId="00000022">
      <w:pPr>
        <w:numPr>
          <w:ilvl w:val="0"/>
          <w:numId w:val="2"/>
        </w:numPr>
        <w:spacing w:after="0" w:before="0" w:line="240" w:lineRule="auto"/>
        <w:ind w:left="720" w:hanging="360"/>
        <w:rPr>
          <w:color w:val="1f497d"/>
          <w:sz w:val="24"/>
          <w:szCs w:val="24"/>
        </w:rPr>
      </w:pPr>
      <w:r w:rsidDel="00000000" w:rsidR="00000000" w:rsidRPr="00000000">
        <w:rPr>
          <w:color w:val="1f497d"/>
          <w:sz w:val="24"/>
          <w:szCs w:val="24"/>
          <w:rtl w:val="0"/>
        </w:rPr>
        <w:t xml:space="preserve">If a completed VCC is not returned to the plan/insurer by the end of the second month of enrollment, the member will be disenrolled from the C-SNP</w:t>
      </w:r>
    </w:p>
    <w:p w:rsidR="00000000" w:rsidDel="00000000" w:rsidP="00000000" w:rsidRDefault="00000000" w:rsidRPr="00000000" w14:paraId="00000023">
      <w:pPr>
        <w:spacing w:after="0" w:before="0" w:line="240" w:lineRule="auto"/>
        <w:ind w:left="720" w:firstLine="0"/>
        <w:rPr>
          <w:color w:val="1f497d"/>
          <w:sz w:val="24"/>
          <w:szCs w:val="24"/>
        </w:rPr>
      </w:pPr>
      <w:r w:rsidDel="00000000" w:rsidR="00000000" w:rsidRPr="00000000">
        <w:rPr>
          <w:rtl w:val="0"/>
        </w:rPr>
      </w:r>
    </w:p>
    <w:p w:rsidR="00000000" w:rsidDel="00000000" w:rsidP="00000000" w:rsidRDefault="00000000" w:rsidRPr="00000000" w14:paraId="00000024">
      <w:pPr>
        <w:spacing w:after="0" w:before="0" w:line="240" w:lineRule="auto"/>
        <w:ind w:left="0" w:firstLine="0"/>
        <w:rPr>
          <w:b w:val="1"/>
          <w:color w:val="1f497d"/>
          <w:sz w:val="24"/>
          <w:szCs w:val="24"/>
        </w:rPr>
      </w:pPr>
      <w:r w:rsidDel="00000000" w:rsidR="00000000" w:rsidRPr="00000000">
        <w:rPr>
          <w:b w:val="1"/>
          <w:color w:val="1f497d"/>
          <w:sz w:val="24"/>
          <w:szCs w:val="24"/>
          <w:rtl w:val="0"/>
        </w:rPr>
        <w:t xml:space="preserve">Part B Giveback</w:t>
      </w:r>
    </w:p>
    <w:p w:rsidR="00000000" w:rsidDel="00000000" w:rsidP="00000000" w:rsidRDefault="00000000" w:rsidRPr="00000000" w14:paraId="00000025">
      <w:pPr>
        <w:numPr>
          <w:ilvl w:val="0"/>
          <w:numId w:val="2"/>
        </w:numPr>
        <w:spacing w:after="0" w:before="0" w:line="240" w:lineRule="auto"/>
        <w:ind w:left="720" w:hanging="360"/>
        <w:rPr>
          <w:color w:val="1f497d"/>
          <w:sz w:val="24"/>
          <w:szCs w:val="24"/>
        </w:rPr>
      </w:pPr>
      <w:r w:rsidDel="00000000" w:rsidR="00000000" w:rsidRPr="00000000">
        <w:rPr>
          <w:color w:val="1f497d"/>
          <w:sz w:val="24"/>
          <w:szCs w:val="24"/>
          <w:rtl w:val="0"/>
        </w:rPr>
        <w:t xml:space="preserve">Explain to the beneficiary what the Medicare Part B Giveback is</w:t>
      </w:r>
    </w:p>
    <w:p w:rsidR="00000000" w:rsidDel="00000000" w:rsidP="00000000" w:rsidRDefault="00000000" w:rsidRPr="00000000" w14:paraId="00000026">
      <w:pPr>
        <w:numPr>
          <w:ilvl w:val="0"/>
          <w:numId w:val="2"/>
        </w:numPr>
        <w:spacing w:after="0" w:before="0" w:line="240" w:lineRule="auto"/>
        <w:ind w:left="720" w:hanging="360"/>
        <w:rPr>
          <w:color w:val="1f497d"/>
          <w:sz w:val="24"/>
          <w:szCs w:val="24"/>
        </w:rPr>
      </w:pPr>
      <w:r w:rsidDel="00000000" w:rsidR="00000000" w:rsidRPr="00000000">
        <w:rPr>
          <w:color w:val="1f497d"/>
          <w:sz w:val="24"/>
          <w:szCs w:val="24"/>
          <w:rtl w:val="0"/>
        </w:rPr>
        <w:t xml:space="preserve">When first joining in a new Part B Giveback plan, it can take up to 3 months for the Part B Giveback reimbursement to start.  The member will be reimbursed for each month they weren’t compensated since joining the new plan</w:t>
      </w:r>
    </w:p>
    <w:p w:rsidR="00000000" w:rsidDel="00000000" w:rsidP="00000000" w:rsidRDefault="00000000" w:rsidRPr="00000000" w14:paraId="00000027">
      <w:pPr>
        <w:numPr>
          <w:ilvl w:val="0"/>
          <w:numId w:val="2"/>
        </w:numPr>
        <w:spacing w:after="0" w:before="0" w:line="240" w:lineRule="auto"/>
        <w:ind w:left="720" w:hanging="360"/>
        <w:rPr>
          <w:color w:val="1f497d"/>
          <w:sz w:val="24"/>
          <w:szCs w:val="24"/>
        </w:rPr>
      </w:pPr>
      <w:r w:rsidDel="00000000" w:rsidR="00000000" w:rsidRPr="00000000">
        <w:rPr>
          <w:color w:val="1f497d"/>
          <w:sz w:val="24"/>
          <w:szCs w:val="24"/>
          <w:rtl w:val="0"/>
        </w:rPr>
        <w:t xml:space="preserve">Make sure the beneficiary understands how the Part B Giveback reimbursement occurs:</w:t>
      </w:r>
    </w:p>
    <w:p w:rsidR="00000000" w:rsidDel="00000000" w:rsidP="00000000" w:rsidRDefault="00000000" w:rsidRPr="00000000" w14:paraId="00000028">
      <w:pPr>
        <w:numPr>
          <w:ilvl w:val="1"/>
          <w:numId w:val="2"/>
        </w:numPr>
        <w:spacing w:after="0" w:before="0" w:line="240" w:lineRule="auto"/>
        <w:ind w:left="1440" w:hanging="360"/>
        <w:rPr>
          <w:color w:val="1f497d"/>
          <w:sz w:val="24"/>
          <w:szCs w:val="24"/>
        </w:rPr>
      </w:pPr>
      <w:r w:rsidDel="00000000" w:rsidR="00000000" w:rsidRPr="00000000">
        <w:rPr>
          <w:color w:val="1f497d"/>
          <w:sz w:val="24"/>
          <w:szCs w:val="24"/>
          <w:rtl w:val="0"/>
        </w:rPr>
        <w:t xml:space="preserve">Credited to a member’s monthly Social Security check, if the Part B premium is paid through Social Security</w:t>
      </w:r>
    </w:p>
    <w:p w:rsidR="00000000" w:rsidDel="00000000" w:rsidP="00000000" w:rsidRDefault="00000000" w:rsidRPr="00000000" w14:paraId="00000029">
      <w:pPr>
        <w:numPr>
          <w:ilvl w:val="1"/>
          <w:numId w:val="2"/>
        </w:numPr>
        <w:spacing w:after="0" w:before="0" w:line="240" w:lineRule="auto"/>
        <w:ind w:left="1440" w:hanging="360"/>
        <w:rPr>
          <w:color w:val="1f497d"/>
          <w:sz w:val="24"/>
          <w:szCs w:val="24"/>
        </w:rPr>
      </w:pPr>
      <w:r w:rsidDel="00000000" w:rsidR="00000000" w:rsidRPr="00000000">
        <w:rPr>
          <w:color w:val="1f497d"/>
          <w:sz w:val="24"/>
          <w:szCs w:val="24"/>
          <w:rtl w:val="0"/>
        </w:rPr>
        <w:t xml:space="preserve">If the Part B premium is not paid through Social Security, the member will pay a reduced monthly amount directly to Medicare</w:t>
      </w:r>
    </w:p>
    <w:p w:rsidR="00000000" w:rsidDel="00000000" w:rsidP="00000000" w:rsidRDefault="00000000" w:rsidRPr="00000000" w14:paraId="0000002A">
      <w:pPr>
        <w:numPr>
          <w:ilvl w:val="1"/>
          <w:numId w:val="2"/>
        </w:numPr>
        <w:spacing w:after="0" w:before="0" w:line="240" w:lineRule="auto"/>
        <w:ind w:left="1440" w:hanging="360"/>
        <w:rPr>
          <w:color w:val="1f497d"/>
          <w:sz w:val="24"/>
          <w:szCs w:val="24"/>
        </w:rPr>
      </w:pPr>
      <w:r w:rsidDel="00000000" w:rsidR="00000000" w:rsidRPr="00000000">
        <w:rPr>
          <w:color w:val="1f497d"/>
          <w:sz w:val="24"/>
          <w:szCs w:val="24"/>
          <w:rtl w:val="0"/>
        </w:rPr>
        <w:t xml:space="preserve">If receiving Railroad Retirement Benefits, the Part B Giveback will be applied to the monthly railroad benefit</w:t>
      </w:r>
    </w:p>
    <w:p w:rsidR="00000000" w:rsidDel="00000000" w:rsidP="00000000" w:rsidRDefault="00000000" w:rsidRPr="00000000" w14:paraId="0000002B">
      <w:pPr>
        <w:spacing w:after="0" w:before="0" w:line="240" w:lineRule="auto"/>
        <w:ind w:left="0" w:firstLine="0"/>
        <w:rPr>
          <w:b w:val="1"/>
          <w:color w:val="1f497d"/>
          <w:sz w:val="24"/>
          <w:szCs w:val="24"/>
        </w:rPr>
      </w:pPr>
      <w:r w:rsidDel="00000000" w:rsidR="00000000" w:rsidRPr="00000000">
        <w:rPr>
          <w:rtl w:val="0"/>
        </w:rPr>
      </w:r>
    </w:p>
    <w:p w:rsidR="00000000" w:rsidDel="00000000" w:rsidP="00000000" w:rsidRDefault="00000000" w:rsidRPr="00000000" w14:paraId="0000002C">
      <w:pPr>
        <w:spacing w:after="0" w:before="0" w:line="240" w:lineRule="auto"/>
        <w:ind w:left="0" w:firstLine="0"/>
        <w:rPr>
          <w:b w:val="1"/>
          <w:color w:val="1f497d"/>
          <w:sz w:val="24"/>
          <w:szCs w:val="24"/>
        </w:rPr>
      </w:pPr>
      <w:r w:rsidDel="00000000" w:rsidR="00000000" w:rsidRPr="00000000">
        <w:rPr>
          <w:b w:val="1"/>
          <w:color w:val="1f497d"/>
          <w:sz w:val="24"/>
          <w:szCs w:val="24"/>
          <w:rtl w:val="0"/>
        </w:rPr>
        <w:t xml:space="preserve">Veteran Healthcare and Engagement</w:t>
      </w:r>
    </w:p>
    <w:p w:rsidR="00000000" w:rsidDel="00000000" w:rsidP="00000000" w:rsidRDefault="00000000" w:rsidRPr="00000000" w14:paraId="0000002D">
      <w:pPr>
        <w:numPr>
          <w:ilvl w:val="0"/>
          <w:numId w:val="2"/>
        </w:numPr>
        <w:spacing w:after="0" w:before="0" w:line="240" w:lineRule="auto"/>
        <w:ind w:left="720" w:hanging="360"/>
        <w:rPr>
          <w:color w:val="1f497d"/>
          <w:sz w:val="24"/>
          <w:szCs w:val="24"/>
        </w:rPr>
      </w:pPr>
      <w:r w:rsidDel="00000000" w:rsidR="00000000" w:rsidRPr="00000000">
        <w:rPr>
          <w:color w:val="1f497d"/>
          <w:sz w:val="24"/>
          <w:szCs w:val="24"/>
          <w:rtl w:val="0"/>
        </w:rPr>
        <w:t xml:space="preserve">Do a NEEDS analysis of each veteran’s needs, lifestyle, and budget to determine which plan is right for them and their unique situation</w:t>
      </w:r>
    </w:p>
    <w:p w:rsidR="00000000" w:rsidDel="00000000" w:rsidP="00000000" w:rsidRDefault="00000000" w:rsidRPr="00000000" w14:paraId="0000002E">
      <w:pPr>
        <w:numPr>
          <w:ilvl w:val="0"/>
          <w:numId w:val="2"/>
        </w:numPr>
        <w:spacing w:after="0" w:before="0" w:line="240" w:lineRule="auto"/>
        <w:ind w:left="720" w:hanging="360"/>
        <w:rPr>
          <w:color w:val="1f497d"/>
          <w:sz w:val="24"/>
          <w:szCs w:val="24"/>
        </w:rPr>
      </w:pPr>
      <w:r w:rsidDel="00000000" w:rsidR="00000000" w:rsidRPr="00000000">
        <w:rPr>
          <w:color w:val="1f497d"/>
          <w:sz w:val="24"/>
          <w:szCs w:val="24"/>
          <w:rtl w:val="0"/>
        </w:rPr>
        <w:t xml:space="preserve">If a TRICARE for Life or CHAMPVA beneficiary wishes to enroll in a Medicare Advantage Plan, inform them of two things:</w:t>
      </w:r>
    </w:p>
    <w:p w:rsidR="00000000" w:rsidDel="00000000" w:rsidP="00000000" w:rsidRDefault="00000000" w:rsidRPr="00000000" w14:paraId="0000002F">
      <w:pPr>
        <w:numPr>
          <w:ilvl w:val="1"/>
          <w:numId w:val="2"/>
        </w:numPr>
        <w:spacing w:after="0" w:before="0" w:line="240" w:lineRule="auto"/>
        <w:ind w:left="1440" w:hanging="360"/>
        <w:rPr>
          <w:color w:val="1f497d"/>
          <w:sz w:val="24"/>
          <w:szCs w:val="24"/>
        </w:rPr>
      </w:pPr>
      <w:r w:rsidDel="00000000" w:rsidR="00000000" w:rsidRPr="00000000">
        <w:rPr>
          <w:color w:val="1f497d"/>
          <w:sz w:val="24"/>
          <w:szCs w:val="24"/>
          <w:rtl w:val="0"/>
        </w:rPr>
        <w:t xml:space="preserve">They must use providers in the Plan’s network</w:t>
      </w:r>
    </w:p>
    <w:p w:rsidR="00000000" w:rsidDel="00000000" w:rsidP="00000000" w:rsidRDefault="00000000" w:rsidRPr="00000000" w14:paraId="00000030">
      <w:pPr>
        <w:numPr>
          <w:ilvl w:val="1"/>
          <w:numId w:val="2"/>
        </w:numPr>
        <w:spacing w:after="0" w:before="0" w:line="240" w:lineRule="auto"/>
        <w:ind w:left="1440" w:hanging="360"/>
        <w:rPr>
          <w:color w:val="1f497d"/>
          <w:sz w:val="24"/>
          <w:szCs w:val="24"/>
        </w:rPr>
      </w:pPr>
      <w:r w:rsidDel="00000000" w:rsidR="00000000" w:rsidRPr="00000000">
        <w:rPr>
          <w:color w:val="1f497d"/>
          <w:sz w:val="24"/>
          <w:szCs w:val="24"/>
          <w:rtl w:val="0"/>
        </w:rPr>
        <w:t xml:space="preserve">Beneficiaries will need to coordinate with their providers to ensure that TRICARE for Life or CHAMPVA pays as secondary coverage OR they may need to fill out reimbursement forms to be reimbursed for their copays</w:t>
      </w:r>
    </w:p>
    <w:p w:rsidR="00000000" w:rsidDel="00000000" w:rsidP="00000000" w:rsidRDefault="00000000" w:rsidRPr="00000000" w14:paraId="00000031">
      <w:pPr>
        <w:spacing w:after="0" w:before="0" w:line="240" w:lineRule="auto"/>
        <w:ind w:left="0" w:firstLine="0"/>
        <w:rPr>
          <w:b w:val="1"/>
          <w:color w:val="1f497d"/>
          <w:sz w:val="24"/>
          <w:szCs w:val="24"/>
        </w:rPr>
      </w:pPr>
      <w:r w:rsidDel="00000000" w:rsidR="00000000" w:rsidRPr="00000000">
        <w:rPr>
          <w:rtl w:val="0"/>
        </w:rPr>
      </w:r>
    </w:p>
    <w:p w:rsidR="00000000" w:rsidDel="00000000" w:rsidP="00000000" w:rsidRDefault="00000000" w:rsidRPr="00000000" w14:paraId="00000032">
      <w:pPr>
        <w:spacing w:after="0" w:before="0" w:line="240" w:lineRule="auto"/>
        <w:ind w:left="0" w:firstLine="0"/>
        <w:rPr>
          <w:b w:val="1"/>
          <w:color w:val="1f497d"/>
          <w:sz w:val="24"/>
          <w:szCs w:val="24"/>
        </w:rPr>
      </w:pPr>
      <w:r w:rsidDel="00000000" w:rsidR="00000000" w:rsidRPr="00000000">
        <w:rPr>
          <w:b w:val="1"/>
          <w:color w:val="1f497d"/>
          <w:sz w:val="24"/>
          <w:szCs w:val="24"/>
          <w:rtl w:val="0"/>
        </w:rPr>
        <w:t xml:space="preserve">Honors Plans and Tricare for Life/VA/ChampVA</w:t>
      </w:r>
    </w:p>
    <w:p w:rsidR="00000000" w:rsidDel="00000000" w:rsidP="00000000" w:rsidRDefault="00000000" w:rsidRPr="00000000" w14:paraId="00000033">
      <w:pPr>
        <w:numPr>
          <w:ilvl w:val="0"/>
          <w:numId w:val="2"/>
        </w:numPr>
        <w:spacing w:after="0" w:before="0" w:line="240" w:lineRule="auto"/>
        <w:ind w:left="720" w:hanging="360"/>
        <w:rPr>
          <w:color w:val="1f497d"/>
          <w:sz w:val="24"/>
          <w:szCs w:val="24"/>
        </w:rPr>
      </w:pPr>
      <w:r w:rsidDel="00000000" w:rsidR="00000000" w:rsidRPr="00000000">
        <w:rPr>
          <w:color w:val="1f497d"/>
          <w:sz w:val="24"/>
          <w:szCs w:val="24"/>
          <w:rtl w:val="0"/>
        </w:rPr>
        <w:t xml:space="preserve">Explain to a beneficiary how a Medicare Advantage Honors plan may impact TRICARE for Life, VA, or ChampVA coverage</w:t>
      </w:r>
    </w:p>
    <w:p w:rsidR="00000000" w:rsidDel="00000000" w:rsidP="00000000" w:rsidRDefault="00000000" w:rsidRPr="00000000" w14:paraId="00000034">
      <w:pPr>
        <w:numPr>
          <w:ilvl w:val="0"/>
          <w:numId w:val="2"/>
        </w:numPr>
        <w:spacing w:after="0" w:before="0" w:line="240" w:lineRule="auto"/>
        <w:ind w:left="720" w:hanging="360"/>
        <w:rPr>
          <w:color w:val="1f497d"/>
          <w:sz w:val="24"/>
          <w:szCs w:val="24"/>
        </w:rPr>
      </w:pPr>
      <w:r w:rsidDel="00000000" w:rsidR="00000000" w:rsidRPr="00000000">
        <w:rPr>
          <w:color w:val="1f497d"/>
          <w:sz w:val="24"/>
          <w:szCs w:val="24"/>
          <w:rtl w:val="0"/>
        </w:rPr>
        <w:t xml:space="preserve">Be sure the beneficiary understands the </w:t>
      </w:r>
      <w:r w:rsidDel="00000000" w:rsidR="00000000" w:rsidRPr="00000000">
        <w:rPr>
          <w:b w:val="1"/>
          <w:color w:val="1f497d"/>
          <w:sz w:val="24"/>
          <w:szCs w:val="24"/>
          <w:rtl w:val="0"/>
        </w:rPr>
        <w:t xml:space="preserve">VA/ChampVA Healthcare and Medicare are two separate programs, they do not overlap or coordinate</w:t>
      </w:r>
    </w:p>
    <w:p w:rsidR="00000000" w:rsidDel="00000000" w:rsidP="00000000" w:rsidRDefault="00000000" w:rsidRPr="00000000" w14:paraId="00000035">
      <w:pPr>
        <w:numPr>
          <w:ilvl w:val="0"/>
          <w:numId w:val="2"/>
        </w:numPr>
        <w:spacing w:after="0" w:before="0" w:line="240" w:lineRule="auto"/>
        <w:ind w:left="720" w:hanging="360"/>
        <w:rPr>
          <w:color w:val="1f497d"/>
          <w:sz w:val="24"/>
          <w:szCs w:val="24"/>
        </w:rPr>
      </w:pPr>
      <w:r w:rsidDel="00000000" w:rsidR="00000000" w:rsidRPr="00000000">
        <w:rPr>
          <w:color w:val="1f497d"/>
          <w:sz w:val="24"/>
          <w:szCs w:val="24"/>
          <w:rtl w:val="0"/>
        </w:rPr>
        <w:t xml:space="preserve">VA Healthcare typically only pays for services rendered by VA physicians or VA pharmacies</w:t>
      </w:r>
    </w:p>
    <w:p w:rsidR="00000000" w:rsidDel="00000000" w:rsidP="00000000" w:rsidRDefault="00000000" w:rsidRPr="00000000" w14:paraId="00000036">
      <w:pPr>
        <w:numPr>
          <w:ilvl w:val="1"/>
          <w:numId w:val="2"/>
        </w:numPr>
        <w:spacing w:after="0" w:before="0" w:line="240" w:lineRule="auto"/>
        <w:ind w:left="1440" w:hanging="360"/>
        <w:rPr>
          <w:color w:val="1f497d"/>
          <w:sz w:val="24"/>
          <w:szCs w:val="24"/>
        </w:rPr>
      </w:pPr>
      <w:r w:rsidDel="00000000" w:rsidR="00000000" w:rsidRPr="00000000">
        <w:rPr>
          <w:color w:val="1f497d"/>
          <w:sz w:val="24"/>
          <w:szCs w:val="24"/>
          <w:rtl w:val="0"/>
        </w:rPr>
        <w:t xml:space="preserve">Medications prescribed by non-VA providers cannot be filled at the VA pharmacy unless a VA physician agrees.</w:t>
      </w:r>
      <w:r w:rsidDel="00000000" w:rsidR="00000000" w:rsidRPr="00000000">
        <w:rPr>
          <w:rtl w:val="0"/>
        </w:rPr>
      </w:r>
    </w:p>
    <w:p w:rsidR="00000000" w:rsidDel="00000000" w:rsidP="00000000" w:rsidRDefault="00000000" w:rsidRPr="00000000" w14:paraId="00000037">
      <w:pPr>
        <w:rPr>
          <w:color w:val="163e64"/>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rPr/>
    </w:pPr>
    <w:r w:rsidDel="00000000" w:rsidR="00000000" w:rsidRPr="00000000">
      <w:rPr>
        <w:color w:val="999999"/>
        <w:rtl w:val="0"/>
      </w:rPr>
      <w:t xml:space="preserve">Confidential, do not distribute. </w:t>
    </w:r>
    <w:r w:rsidDel="00000000" w:rsidR="00000000" w:rsidRPr="00000000">
      <w:rPr>
        <w:color w:val="999999"/>
        <w:rtl w:val="0"/>
      </w:rPr>
      <w:t xml:space="preserve">Agent</w:t>
    </w:r>
    <w:r w:rsidDel="00000000" w:rsidR="00000000" w:rsidRPr="00000000">
      <w:rPr>
        <w:color w:val="999999"/>
        <w:rtl w:val="0"/>
      </w:rPr>
      <w:t xml:space="preserve"> use only, do not share with beneficiaries. For questions, reach out to MCC at 813-935-8361 or mcc@mccbrokerage.com.</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