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Facebook/Meta Restricting Insurance Ads</w:t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Agents and agencies,</w:t>
      </w:r>
    </w:p>
    <w:p w:rsidR="00000000" w:rsidDel="00000000" w:rsidP="00000000" w:rsidRDefault="00000000" w:rsidRPr="00000000" w14:paraId="00000004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This information impacts those of you who rely on Facebook, Instagram, or other Meta-owned platforms to advertise your business.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/>
      </w:pPr>
      <w:r w:rsidDel="00000000" w:rsidR="00000000" w:rsidRPr="00000000">
        <w:rPr>
          <w:b w:val="1"/>
          <w:rtl w:val="0"/>
        </w:rPr>
        <w:t xml:space="preserve">ISSUE</w:t>
      </w:r>
      <w:r w:rsidDel="00000000" w:rsidR="00000000" w:rsidRPr="00000000">
        <w:rPr>
          <w:rtl w:val="0"/>
        </w:rPr>
        <w:t xml:space="preserve">: Meta (Facebook/Instagram/threads/etc.) removed the category health insurance carriers were advertising in. It now places agencies, brokerages, carriers, and other entities in the industry, in a ‘Special Ads’ category.</w:t>
      </w:r>
    </w:p>
    <w:p w:rsidR="00000000" w:rsidDel="00000000" w:rsidP="00000000" w:rsidRDefault="00000000" w:rsidRPr="00000000" w14:paraId="00000007">
      <w:pPr>
        <w:spacing w:after="0" w:before="240" w:line="240" w:lineRule="auto"/>
        <w:rPr/>
      </w:pPr>
      <w:r w:rsidDel="00000000" w:rsidR="00000000" w:rsidRPr="00000000">
        <w:rPr>
          <w:rtl w:val="0"/>
        </w:rPr>
        <w:t xml:space="preserve">The impact on Sales and brokers is detailed here:</w:t>
      </w:r>
    </w:p>
    <w:p w:rsidR="00000000" w:rsidDel="00000000" w:rsidP="00000000" w:rsidRDefault="00000000" w:rsidRPr="00000000" w14:paraId="00000008">
      <w:pPr>
        <w:spacing w:after="24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Source</w:t>
      </w:r>
      <w:r w:rsidDel="00000000" w:rsidR="00000000" w:rsidRPr="00000000">
        <w:rPr>
          <w:rtl w:val="0"/>
        </w:rPr>
        <w:t xml:space="preserve">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Financial and Insurance Products and Services | Transparency Center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It Means to Be in a Special Ads Category</w:t>
      </w:r>
    </w:p>
    <w:p w:rsidR="00000000" w:rsidDel="00000000" w:rsidP="00000000" w:rsidRDefault="00000000" w:rsidRPr="00000000" w14:paraId="0000000A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Special Ads Category restrictions mean that advertisers lose access to many of the granular targeting options previously available.</w:t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 example: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Age Restrictions Removed:</w:t>
      </w:r>
      <w:r w:rsidDel="00000000" w:rsidR="00000000" w:rsidRPr="00000000">
        <w:rPr>
          <w:rtl w:val="0"/>
        </w:rPr>
        <w:t xml:space="preserve"> You can no longer target specific age groups, </w:t>
      </w:r>
      <w:r w:rsidDel="00000000" w:rsidR="00000000" w:rsidRPr="00000000">
        <w:rPr>
          <w:color w:val="ff0000"/>
          <w:rtl w:val="0"/>
        </w:rPr>
        <w:t xml:space="preserve">which is critical for products like Medicare aimed at seniors.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Location Restrictions:</w:t>
      </w:r>
      <w:r w:rsidDel="00000000" w:rsidR="00000000" w:rsidRPr="00000000">
        <w:rPr>
          <w:rtl w:val="0"/>
        </w:rPr>
        <w:t xml:space="preserve"> Geographic targeting is limited to a minimum 15-mile radius, </w:t>
      </w:r>
      <w:r w:rsidDel="00000000" w:rsidR="00000000" w:rsidRPr="00000000">
        <w:rPr>
          <w:color w:val="ff0000"/>
          <w:rtl w:val="0"/>
        </w:rPr>
        <w:t xml:space="preserve">making it harder to focus on specific neighborhoods or regions.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Interest-Based Targeting Changes:</w:t>
      </w:r>
      <w:r w:rsidDel="00000000" w:rsidR="00000000" w:rsidRPr="00000000">
        <w:rPr>
          <w:rtl w:val="0"/>
        </w:rPr>
        <w:t xml:space="preserve"> Interests like “retirement planning” or “</w:t>
      </w:r>
      <w:r w:rsidDel="00000000" w:rsidR="00000000" w:rsidRPr="00000000">
        <w:rPr>
          <w:color w:val="ff0000"/>
          <w:rtl w:val="0"/>
        </w:rPr>
        <w:t xml:space="preserve">healthcare” may no longer be accessible, reducing the ability to zero in on the right audience.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 Audience Expansion:</w:t>
      </w:r>
      <w:r w:rsidDel="00000000" w:rsidR="00000000" w:rsidRPr="00000000">
        <w:rPr>
          <w:rtl w:val="0"/>
        </w:rPr>
        <w:t xml:space="preserve"> Meta’s audience expansion tool, which helps optimize ad reach, </w:t>
      </w:r>
      <w:r w:rsidDel="00000000" w:rsidR="00000000" w:rsidRPr="00000000">
        <w:rPr>
          <w:color w:val="ff0000"/>
          <w:rtl w:val="0"/>
        </w:rPr>
        <w:t xml:space="preserve">is no longer 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6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0" w:line="240" w:lineRule="auto"/>
        <w:rPr>
          <w:b w:val="1"/>
          <w:color w:val="2d2d2d"/>
        </w:rPr>
      </w:pPr>
      <w:r w:rsidDel="00000000" w:rsidR="00000000" w:rsidRPr="00000000">
        <w:rPr>
          <w:b w:val="1"/>
          <w:color w:val="2d2d2d"/>
          <w:rtl w:val="0"/>
        </w:rPr>
        <w:t xml:space="preserve">Here are strategies to help insurance agents continue to reach their target audience: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6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0" w:afterAutospacing="0" w:line="240" w:lineRule="auto"/>
        <w:ind w:left="720" w:hanging="360"/>
        <w:rPr>
          <w:color w:val="2d2d2d"/>
          <w:u w:val="none"/>
        </w:rPr>
      </w:pPr>
      <w:r w:rsidDel="00000000" w:rsidR="00000000" w:rsidRPr="00000000">
        <w:rPr>
          <w:color w:val="2d2d2d"/>
          <w:rtl w:val="0"/>
        </w:rPr>
        <w:t xml:space="preserve">Leverage First-Party Data: Build and use your email lists to retarget audiences on Meta platforms. First-party data gives you an edge in creating custom audiences, bypassing some restrictions.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6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0" w:before="200" w:line="240" w:lineRule="auto"/>
        <w:ind w:left="720" w:hanging="360"/>
        <w:rPr>
          <w:color w:val="2d2d2d"/>
          <w:u w:val="none"/>
        </w:rPr>
      </w:pPr>
      <w:r w:rsidDel="00000000" w:rsidR="00000000" w:rsidRPr="00000000">
        <w:rPr>
          <w:color w:val="2d2d2d"/>
          <w:rtl w:val="0"/>
        </w:rPr>
        <w:t xml:space="preserve">Create Engaging Content: Invest in quality video content, such as testimonial-driven VSLs (Video Sales Letters). Engaging and informative content resonates with broader audiences, driving conversions without precise targeting.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6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0" w:before="200" w:line="240" w:lineRule="auto"/>
        <w:ind w:left="720" w:hanging="360"/>
        <w:rPr>
          <w:color w:val="2d2d2d"/>
          <w:u w:val="none"/>
        </w:rPr>
      </w:pPr>
      <w:r w:rsidDel="00000000" w:rsidR="00000000" w:rsidRPr="00000000">
        <w:rPr>
          <w:color w:val="2d2d2d"/>
          <w:rtl w:val="0"/>
        </w:rPr>
        <w:t xml:space="preserve">Broaden Targeting: Focus on messaging that appeals to larger audiences. Use storytelling to connect emotionally with your audience, making your ad stand out even with broad targeting.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6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0" w:before="200" w:line="240" w:lineRule="auto"/>
        <w:ind w:left="720" w:hanging="360"/>
        <w:rPr>
          <w:color w:val="2d2d2d"/>
          <w:u w:val="none"/>
        </w:rPr>
      </w:pPr>
      <w:r w:rsidDel="00000000" w:rsidR="00000000" w:rsidRPr="00000000">
        <w:rPr>
          <w:color w:val="2d2d2d"/>
          <w:rtl w:val="0"/>
        </w:rPr>
        <w:t xml:space="preserve">Use A CRM for Automation: A CRM simplifies the process with tools like funnels, email campaigns, and lead nurturing. You can automate follow-ups and create multi-platform campaigns to ensure no lead slips through the cracks.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6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360" w:before="200" w:line="240" w:lineRule="auto"/>
        <w:ind w:left="720" w:hanging="360"/>
        <w:rPr>
          <w:color w:val="2d2d2d"/>
          <w:u w:val="none"/>
        </w:rPr>
      </w:pPr>
      <w:r w:rsidDel="00000000" w:rsidR="00000000" w:rsidRPr="00000000">
        <w:rPr>
          <w:color w:val="2d2d2d"/>
          <w:rtl w:val="0"/>
        </w:rPr>
        <w:t xml:space="preserve">Experiment with Platforms: Diversify beyond Meta by exploring Google Ads, YouTube, or TikTok, where targeting rules may be less restrictive for insurance products.</w:t>
      </w:r>
    </w:p>
    <w:p w:rsidR="00000000" w:rsidDel="00000000" w:rsidP="00000000" w:rsidRDefault="00000000" w:rsidRPr="00000000" w14:paraId="00000016">
      <w:pPr>
        <w:pBdr>
          <w:top w:color="auto" w:space="6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360" w:before="200" w:line="240" w:lineRule="auto"/>
        <w:rPr>
          <w:color w:val="2d2d2d"/>
        </w:rPr>
      </w:pPr>
      <w:r w:rsidDel="00000000" w:rsidR="00000000" w:rsidRPr="00000000">
        <w:rPr>
          <w:color w:val="2d2d2d"/>
          <w:rtl w:val="0"/>
        </w:rPr>
        <w:t xml:space="preserve">If you have any questions about this communication, please reach out to MCC Brokerage at 813-935-8361 or mcc@mccbrokerage.com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rldefense.com/v3/__https:/transparency.meta.com/policies/ad-standards/restricted-goods-services/financial-services__;!!BgIKVS048w!sF9Wkui-gZGyPnhiNPdhUzKwGm5tPu2poDXamheWLhN7rN4LZpPWCjyhgWJ8YxD3GVRwtKoK6CIzcbiOuYHU3usCcoJUWPndS0dzaw$" TargetMode="External"/><Relationship Id="rId7" Type="http://schemas.openxmlformats.org/officeDocument/2006/relationships/hyperlink" Target="https://urldefense.com/v3/__https:/transparency.meta.com/policies/ad-standards/restricted-goods-services/financial-services__;!!BgIKVS048w!sF9Wkui-gZGyPnhiNPdhUzKwGm5tPu2poDXamheWLhN7rN4LZpPWCjyhgWJ8YxD3GVRwtKoK6CIzcbiOuYHU3usCcoJUWPndS0dzaw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