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0" w:before="0" w:line="240" w:lineRule="auto"/>
        <w:rPr>
          <w:b w:val="1"/>
          <w:sz w:val="46"/>
          <w:szCs w:val="46"/>
        </w:rPr>
      </w:pPr>
      <w:bookmarkStart w:colFirst="0" w:colLast="0" w:name="_or6srqkjcdyy" w:id="0"/>
      <w:bookmarkEnd w:id="0"/>
      <w:r w:rsidDel="00000000" w:rsidR="00000000" w:rsidRPr="00000000">
        <w:rPr>
          <w:b w:val="1"/>
          <w:sz w:val="46"/>
          <w:szCs w:val="46"/>
          <w:rtl w:val="0"/>
        </w:rPr>
        <w:t xml:space="preserve">Prior Authorization is Coming to Original Medicare: What Agents Need to Know</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i w:val="1"/>
          <w:color w:val="999999"/>
        </w:rPr>
      </w:pPr>
      <w:r w:rsidDel="00000000" w:rsidR="00000000" w:rsidRPr="00000000">
        <w:rPr>
          <w:i w:val="1"/>
          <w:color w:val="999999"/>
          <w:rtl w:val="0"/>
        </w:rPr>
        <w:t xml:space="preserve">MCC Brokerage Updates 07/14/2025 11:43am EST</w:t>
        <w:tab/>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after="0" w:before="0" w:line="240" w:lineRule="auto"/>
        <w:rPr/>
      </w:pPr>
      <w:r w:rsidDel="00000000" w:rsidR="00000000" w:rsidRPr="00000000">
        <w:rPr>
          <w:rtl w:val="0"/>
        </w:rPr>
        <w:t xml:space="preserve">Beginning January 1, 2026, CMS will launch a pilot program requiring prior authorization for certain services under Original Medicare.</w:t>
      </w:r>
    </w:p>
    <w:p w:rsidR="00000000" w:rsidDel="00000000" w:rsidP="00000000" w:rsidRDefault="00000000" w:rsidRPr="00000000" w14:paraId="00000006">
      <w:pPr>
        <w:spacing w:after="0" w:before="0" w:line="240" w:lineRule="auto"/>
        <w:rPr/>
      </w:pPr>
      <w:r w:rsidDel="00000000" w:rsidR="00000000" w:rsidRPr="00000000">
        <w:rPr>
          <w:rtl w:val="0"/>
        </w:rPr>
      </w:r>
    </w:p>
    <w:p w:rsidR="00000000" w:rsidDel="00000000" w:rsidP="00000000" w:rsidRDefault="00000000" w:rsidRPr="00000000" w14:paraId="00000007">
      <w:pPr>
        <w:spacing w:after="0" w:before="0" w:line="240" w:lineRule="auto"/>
        <w:rPr/>
      </w:pPr>
      <w:r w:rsidDel="00000000" w:rsidR="00000000" w:rsidRPr="00000000">
        <w:rPr>
          <w:rtl w:val="0"/>
        </w:rPr>
        <w:t xml:space="preserve">This program, called the Wasteful and Inappropriate Services Reduction (WISeR) Model, will be implemented in six states: New Jersey, Ohio, Oklahoma, Texas, Arizona, and Washington, and marks a significant change for Medicare beneficiaries and providers in these states. </w:t>
      </w:r>
    </w:p>
    <w:p w:rsidR="00000000" w:rsidDel="00000000" w:rsidP="00000000" w:rsidRDefault="00000000" w:rsidRPr="00000000" w14:paraId="00000008">
      <w:pPr>
        <w:spacing w:after="0" w:before="0" w:line="240" w:lineRule="auto"/>
        <w:rPr/>
      </w:pPr>
      <w:r w:rsidDel="00000000" w:rsidR="00000000" w:rsidRPr="00000000">
        <w:rPr>
          <w:rtl w:val="0"/>
        </w:rPr>
      </w:r>
    </w:p>
    <w:p w:rsidR="00000000" w:rsidDel="00000000" w:rsidP="00000000" w:rsidRDefault="00000000" w:rsidRPr="00000000" w14:paraId="00000009">
      <w:pPr>
        <w:spacing w:after="0" w:before="0" w:line="240" w:lineRule="auto"/>
        <w:rPr/>
      </w:pPr>
      <w:r w:rsidDel="00000000" w:rsidR="00000000" w:rsidRPr="00000000">
        <w:rPr>
          <w:rtl w:val="0"/>
        </w:rPr>
        <w:t xml:space="preserve">In the past, Original Medicare has offered direct access to services without the prior authorization hurdles that are commonly found in Medicare Advantage plans. With this pilot, that flexibility will begin to decrease on the Medicare and MedSupp side.</w:t>
      </w:r>
    </w:p>
    <w:p w:rsidR="00000000" w:rsidDel="00000000" w:rsidP="00000000" w:rsidRDefault="00000000" w:rsidRPr="00000000" w14:paraId="0000000A">
      <w:pPr>
        <w:spacing w:after="0" w:before="0" w:line="240" w:lineRule="auto"/>
        <w:rPr/>
      </w:pPr>
      <w:r w:rsidDel="00000000" w:rsidR="00000000" w:rsidRPr="00000000">
        <w:rPr>
          <w:rtl w:val="0"/>
        </w:rPr>
      </w:r>
    </w:p>
    <w:p w:rsidR="00000000" w:rsidDel="00000000" w:rsidP="00000000" w:rsidRDefault="00000000" w:rsidRPr="00000000" w14:paraId="0000000B">
      <w:pPr>
        <w:pStyle w:val="Heading2"/>
        <w:keepNext w:val="0"/>
        <w:keepLines w:val="0"/>
        <w:spacing w:after="0" w:before="0" w:line="240" w:lineRule="auto"/>
        <w:rPr>
          <w:b w:val="1"/>
          <w:sz w:val="34"/>
          <w:szCs w:val="34"/>
        </w:rPr>
      </w:pPr>
      <w:bookmarkStart w:colFirst="0" w:colLast="0" w:name="_9z1d9uida6ue" w:id="1"/>
      <w:bookmarkEnd w:id="1"/>
      <w:r w:rsidDel="00000000" w:rsidR="00000000" w:rsidRPr="00000000">
        <w:rPr>
          <w:b w:val="1"/>
          <w:sz w:val="34"/>
          <w:szCs w:val="34"/>
          <w:rtl w:val="0"/>
        </w:rPr>
        <w:t xml:space="preserve">What Is the WISeR Model?</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spacing w:after="0" w:before="0" w:line="240" w:lineRule="auto"/>
        <w:rPr/>
      </w:pPr>
      <w:r w:rsidDel="00000000" w:rsidR="00000000" w:rsidRPr="00000000">
        <w:rPr>
          <w:rtl w:val="0"/>
        </w:rPr>
        <w:t xml:space="preserve">The WISeR Model is a five-year demonstration designed to reduce unnecessary services, curb fraud, and control Medicare spending. It is scheduled to run from January 1, 2026, through December 31, 2031. Under this model, certain outpatient services identified as high risk for overuse or improper billing will require prior authorization.</w:t>
      </w:r>
    </w:p>
    <w:p w:rsidR="00000000" w:rsidDel="00000000" w:rsidP="00000000" w:rsidRDefault="00000000" w:rsidRPr="00000000" w14:paraId="0000000E">
      <w:pPr>
        <w:spacing w:after="0" w:before="0" w:line="240" w:lineRule="auto"/>
        <w:rPr/>
      </w:pPr>
      <w:r w:rsidDel="00000000" w:rsidR="00000000" w:rsidRPr="00000000">
        <w:rPr>
          <w:rtl w:val="0"/>
        </w:rPr>
      </w:r>
    </w:p>
    <w:p w:rsidR="00000000" w:rsidDel="00000000" w:rsidP="00000000" w:rsidRDefault="00000000" w:rsidRPr="00000000" w14:paraId="0000000F">
      <w:pPr>
        <w:spacing w:after="0" w:before="0" w:line="240" w:lineRule="auto"/>
        <w:rPr/>
      </w:pPr>
      <w:r w:rsidDel="00000000" w:rsidR="00000000" w:rsidRPr="00000000">
        <w:rPr>
          <w:rtl w:val="0"/>
        </w:rPr>
        <w:t xml:space="preserve">CMS will contract private companies to oversee the prior authorization process. These contractors will be compensated based on the savings they generate for Medicare, raising concerns among some experts about whether this could incentivize denials or create delays in care.</w:t>
      </w:r>
    </w:p>
    <w:p w:rsidR="00000000" w:rsidDel="00000000" w:rsidP="00000000" w:rsidRDefault="00000000" w:rsidRPr="00000000" w14:paraId="00000010">
      <w:pPr>
        <w:spacing w:after="0" w:before="0" w:line="240" w:lineRule="auto"/>
        <w:rPr/>
      </w:pPr>
      <w:r w:rsidDel="00000000" w:rsidR="00000000" w:rsidRPr="00000000">
        <w:rPr>
          <w:rtl w:val="0"/>
        </w:rPr>
      </w:r>
    </w:p>
    <w:p w:rsidR="00000000" w:rsidDel="00000000" w:rsidP="00000000" w:rsidRDefault="00000000" w:rsidRPr="00000000" w14:paraId="00000011">
      <w:pPr>
        <w:spacing w:after="0" w:before="0" w:line="240" w:lineRule="auto"/>
        <w:rPr/>
      </w:pPr>
      <w:r w:rsidDel="00000000" w:rsidR="00000000" w:rsidRPr="00000000">
        <w:rPr>
          <w:rtl w:val="0"/>
        </w:rPr>
        <w:t xml:space="preserve">According to CMS, the program’s goals are to protect the Medicare trust fund, reduce improper payments, and encourage providers to follow evidence-based guidelines.</w:t>
      </w:r>
    </w:p>
    <w:p w:rsidR="00000000" w:rsidDel="00000000" w:rsidP="00000000" w:rsidRDefault="00000000" w:rsidRPr="00000000" w14:paraId="00000012">
      <w:pPr>
        <w:spacing w:after="0" w:before="0" w:line="240" w:lineRule="auto"/>
        <w:rPr/>
      </w:pPr>
      <w:r w:rsidDel="00000000" w:rsidR="00000000" w:rsidRPr="00000000">
        <w:rPr>
          <w:rtl w:val="0"/>
        </w:rPr>
      </w:r>
    </w:p>
    <w:p w:rsidR="00000000" w:rsidDel="00000000" w:rsidP="00000000" w:rsidRDefault="00000000" w:rsidRPr="00000000" w14:paraId="00000013">
      <w:pPr>
        <w:pStyle w:val="Heading2"/>
        <w:keepNext w:val="0"/>
        <w:keepLines w:val="0"/>
        <w:spacing w:after="0" w:before="0" w:line="240" w:lineRule="auto"/>
        <w:rPr>
          <w:b w:val="1"/>
          <w:sz w:val="34"/>
          <w:szCs w:val="34"/>
        </w:rPr>
      </w:pPr>
      <w:bookmarkStart w:colFirst="0" w:colLast="0" w:name="_pife5jsv5l01" w:id="2"/>
      <w:bookmarkEnd w:id="2"/>
      <w:r w:rsidDel="00000000" w:rsidR="00000000" w:rsidRPr="00000000">
        <w:rPr>
          <w:b w:val="1"/>
          <w:sz w:val="34"/>
          <w:szCs w:val="34"/>
          <w:rtl w:val="0"/>
        </w:rPr>
        <w:t xml:space="preserve">Which Services Will Require Prior Authorization?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spacing w:after="0" w:before="0" w:line="240" w:lineRule="auto"/>
        <w:rPr/>
      </w:pPr>
      <w:r w:rsidDel="00000000" w:rsidR="00000000" w:rsidRPr="00000000">
        <w:rPr>
          <w:rtl w:val="0"/>
        </w:rPr>
        <w:t xml:space="preserve">Seventeen outpatient services have been identified for prior authorization under this pilot. These services span several areas of care, including orthopedic, spinal, urological, neurological, and dermatological procedures. The list includes:</w:t>
      </w:r>
    </w:p>
    <w:p w:rsidR="00000000" w:rsidDel="00000000" w:rsidP="00000000" w:rsidRDefault="00000000" w:rsidRPr="00000000" w14:paraId="00000016">
      <w:pPr>
        <w:spacing w:after="0" w:before="0" w:line="240" w:lineRule="auto"/>
        <w:rPr/>
      </w:pPr>
      <w:r w:rsidDel="00000000" w:rsidR="00000000" w:rsidRPr="00000000">
        <w:rPr>
          <w:rtl w:val="0"/>
        </w:rPr>
      </w:r>
    </w:p>
    <w:p w:rsidR="00000000" w:rsidDel="00000000" w:rsidP="00000000" w:rsidRDefault="00000000" w:rsidRPr="00000000" w14:paraId="00000017">
      <w:pPr>
        <w:numPr>
          <w:ilvl w:val="0"/>
          <w:numId w:val="1"/>
        </w:numPr>
        <w:spacing w:after="0" w:before="0" w:line="240" w:lineRule="auto"/>
        <w:ind w:left="720" w:hanging="360"/>
      </w:pPr>
      <w:r w:rsidDel="00000000" w:rsidR="00000000" w:rsidRPr="00000000">
        <w:rPr>
          <w:rtl w:val="0"/>
        </w:rPr>
        <w:t xml:space="preserve">Arthroscopic knee chondroplasty</w:t>
        <w:br w:type="textWrapping"/>
      </w:r>
    </w:p>
    <w:p w:rsidR="00000000" w:rsidDel="00000000" w:rsidP="00000000" w:rsidRDefault="00000000" w:rsidRPr="00000000" w14:paraId="00000018">
      <w:pPr>
        <w:numPr>
          <w:ilvl w:val="0"/>
          <w:numId w:val="1"/>
        </w:numPr>
        <w:spacing w:after="0" w:before="0" w:line="240" w:lineRule="auto"/>
        <w:ind w:left="720" w:hanging="360"/>
      </w:pPr>
      <w:r w:rsidDel="00000000" w:rsidR="00000000" w:rsidRPr="00000000">
        <w:rPr>
          <w:rtl w:val="0"/>
        </w:rPr>
        <w:t xml:space="preserve">Cervical spinal fusion</w:t>
        <w:br w:type="textWrapping"/>
      </w:r>
    </w:p>
    <w:p w:rsidR="00000000" w:rsidDel="00000000" w:rsidP="00000000" w:rsidRDefault="00000000" w:rsidRPr="00000000" w14:paraId="00000019">
      <w:pPr>
        <w:numPr>
          <w:ilvl w:val="0"/>
          <w:numId w:val="1"/>
        </w:numPr>
        <w:spacing w:after="0" w:before="0" w:line="240" w:lineRule="auto"/>
        <w:ind w:left="720" w:hanging="360"/>
      </w:pPr>
      <w:r w:rsidDel="00000000" w:rsidR="00000000" w:rsidRPr="00000000">
        <w:rPr>
          <w:rtl w:val="0"/>
        </w:rPr>
        <w:t xml:space="preserve">Laminectomy (lumbar)</w:t>
        <w:br w:type="textWrapping"/>
      </w:r>
    </w:p>
    <w:p w:rsidR="00000000" w:rsidDel="00000000" w:rsidP="00000000" w:rsidRDefault="00000000" w:rsidRPr="00000000" w14:paraId="0000001A">
      <w:pPr>
        <w:numPr>
          <w:ilvl w:val="0"/>
          <w:numId w:val="1"/>
        </w:numPr>
        <w:spacing w:after="0" w:before="0" w:line="240" w:lineRule="auto"/>
        <w:ind w:left="720" w:hanging="360"/>
      </w:pPr>
      <w:r w:rsidDel="00000000" w:rsidR="00000000" w:rsidRPr="00000000">
        <w:rPr>
          <w:rtl w:val="0"/>
        </w:rPr>
        <w:t xml:space="preserve">Lumbar spinal fusion</w:t>
        <w:br w:type="textWrapping"/>
      </w:r>
    </w:p>
    <w:p w:rsidR="00000000" w:rsidDel="00000000" w:rsidP="00000000" w:rsidRDefault="00000000" w:rsidRPr="00000000" w14:paraId="0000001B">
      <w:pPr>
        <w:numPr>
          <w:ilvl w:val="0"/>
          <w:numId w:val="1"/>
        </w:numPr>
        <w:spacing w:after="0" w:before="0" w:line="240" w:lineRule="auto"/>
        <w:ind w:left="720" w:hanging="360"/>
      </w:pPr>
      <w:r w:rsidDel="00000000" w:rsidR="00000000" w:rsidRPr="00000000">
        <w:rPr>
          <w:rtl w:val="0"/>
        </w:rPr>
        <w:t xml:space="preserve">Sacroiliac (SI) joint fusion</w:t>
        <w:br w:type="textWrapping"/>
      </w:r>
    </w:p>
    <w:p w:rsidR="00000000" w:rsidDel="00000000" w:rsidP="00000000" w:rsidRDefault="00000000" w:rsidRPr="00000000" w14:paraId="0000001C">
      <w:pPr>
        <w:numPr>
          <w:ilvl w:val="0"/>
          <w:numId w:val="1"/>
        </w:numPr>
        <w:spacing w:after="0" w:before="0" w:line="240" w:lineRule="auto"/>
        <w:ind w:left="720" w:hanging="360"/>
      </w:pPr>
      <w:r w:rsidDel="00000000" w:rsidR="00000000" w:rsidRPr="00000000">
        <w:rPr>
          <w:rtl w:val="0"/>
        </w:rPr>
        <w:t xml:space="preserve">Sacroiliac joint injections</w:t>
        <w:br w:type="textWrapping"/>
      </w:r>
    </w:p>
    <w:p w:rsidR="00000000" w:rsidDel="00000000" w:rsidP="00000000" w:rsidRDefault="00000000" w:rsidRPr="00000000" w14:paraId="0000001D">
      <w:pPr>
        <w:numPr>
          <w:ilvl w:val="0"/>
          <w:numId w:val="1"/>
        </w:numPr>
        <w:spacing w:after="0" w:before="0" w:line="240" w:lineRule="auto"/>
        <w:ind w:left="720" w:hanging="360"/>
      </w:pPr>
      <w:r w:rsidDel="00000000" w:rsidR="00000000" w:rsidRPr="00000000">
        <w:rPr>
          <w:rtl w:val="0"/>
        </w:rPr>
        <w:t xml:space="preserve">Facet joint interventions (nerve blocks and ablation)</w:t>
        <w:br w:type="textWrapping"/>
      </w:r>
    </w:p>
    <w:p w:rsidR="00000000" w:rsidDel="00000000" w:rsidP="00000000" w:rsidRDefault="00000000" w:rsidRPr="00000000" w14:paraId="0000001E">
      <w:pPr>
        <w:numPr>
          <w:ilvl w:val="0"/>
          <w:numId w:val="1"/>
        </w:numPr>
        <w:spacing w:after="0" w:before="0" w:line="240" w:lineRule="auto"/>
        <w:ind w:left="720" w:hanging="360"/>
      </w:pPr>
      <w:r w:rsidDel="00000000" w:rsidR="00000000" w:rsidRPr="00000000">
        <w:rPr>
          <w:rtl w:val="0"/>
        </w:rPr>
        <w:t xml:space="preserve">Neurostimulator implantation</w:t>
        <w:br w:type="textWrapping"/>
      </w:r>
    </w:p>
    <w:p w:rsidR="00000000" w:rsidDel="00000000" w:rsidP="00000000" w:rsidRDefault="00000000" w:rsidRPr="00000000" w14:paraId="0000001F">
      <w:pPr>
        <w:numPr>
          <w:ilvl w:val="0"/>
          <w:numId w:val="1"/>
        </w:numPr>
        <w:spacing w:after="0" w:before="0" w:line="240" w:lineRule="auto"/>
        <w:ind w:left="720" w:hanging="360"/>
      </w:pPr>
      <w:r w:rsidDel="00000000" w:rsidR="00000000" w:rsidRPr="00000000">
        <w:rPr>
          <w:rtl w:val="0"/>
        </w:rPr>
        <w:t xml:space="preserve">Interspinous process decompression devices</w:t>
        <w:br w:type="textWrapping"/>
      </w:r>
    </w:p>
    <w:p w:rsidR="00000000" w:rsidDel="00000000" w:rsidP="00000000" w:rsidRDefault="00000000" w:rsidRPr="00000000" w14:paraId="00000020">
      <w:pPr>
        <w:numPr>
          <w:ilvl w:val="0"/>
          <w:numId w:val="1"/>
        </w:numPr>
        <w:spacing w:after="0" w:before="0" w:line="240" w:lineRule="auto"/>
        <w:ind w:left="720" w:hanging="360"/>
      </w:pPr>
      <w:r w:rsidDel="00000000" w:rsidR="00000000" w:rsidRPr="00000000">
        <w:rPr>
          <w:rtl w:val="0"/>
        </w:rPr>
        <w:t xml:space="preserve">Urogynecologic mesh procedures</w:t>
        <w:br w:type="textWrapping"/>
      </w:r>
    </w:p>
    <w:p w:rsidR="00000000" w:rsidDel="00000000" w:rsidP="00000000" w:rsidRDefault="00000000" w:rsidRPr="00000000" w14:paraId="00000021">
      <w:pPr>
        <w:numPr>
          <w:ilvl w:val="0"/>
          <w:numId w:val="1"/>
        </w:numPr>
        <w:spacing w:after="0" w:before="0" w:line="240" w:lineRule="auto"/>
        <w:ind w:left="720" w:hanging="360"/>
      </w:pPr>
      <w:r w:rsidDel="00000000" w:rsidR="00000000" w:rsidRPr="00000000">
        <w:rPr>
          <w:rtl w:val="0"/>
        </w:rPr>
        <w:t xml:space="preserve">Skin substitute grafts</w:t>
        <w:br w:type="textWrapping"/>
      </w:r>
    </w:p>
    <w:p w:rsidR="00000000" w:rsidDel="00000000" w:rsidP="00000000" w:rsidRDefault="00000000" w:rsidRPr="00000000" w14:paraId="00000022">
      <w:pPr>
        <w:numPr>
          <w:ilvl w:val="0"/>
          <w:numId w:val="1"/>
        </w:numPr>
        <w:spacing w:after="0" w:before="0" w:line="240" w:lineRule="auto"/>
        <w:ind w:left="720" w:hanging="360"/>
      </w:pPr>
      <w:r w:rsidDel="00000000" w:rsidR="00000000" w:rsidRPr="00000000">
        <w:rPr>
          <w:rtl w:val="0"/>
        </w:rPr>
        <w:t xml:space="preserve">Transurethral resection of the prostate (TURP)</w:t>
        <w:br w:type="textWrapping"/>
      </w:r>
    </w:p>
    <w:p w:rsidR="00000000" w:rsidDel="00000000" w:rsidP="00000000" w:rsidRDefault="00000000" w:rsidRPr="00000000" w14:paraId="00000023">
      <w:pPr>
        <w:numPr>
          <w:ilvl w:val="0"/>
          <w:numId w:val="1"/>
        </w:numPr>
        <w:spacing w:after="0" w:before="0" w:line="240" w:lineRule="auto"/>
        <w:ind w:left="720" w:hanging="360"/>
      </w:pPr>
      <w:r w:rsidDel="00000000" w:rsidR="00000000" w:rsidRPr="00000000">
        <w:rPr>
          <w:rtl w:val="0"/>
        </w:rPr>
        <w:t xml:space="preserve">Penile prosthesis implantation</w:t>
        <w:br w:type="textWrapping"/>
      </w:r>
    </w:p>
    <w:p w:rsidR="00000000" w:rsidDel="00000000" w:rsidP="00000000" w:rsidRDefault="00000000" w:rsidRPr="00000000" w14:paraId="00000024">
      <w:pPr>
        <w:numPr>
          <w:ilvl w:val="0"/>
          <w:numId w:val="1"/>
        </w:numPr>
        <w:spacing w:after="0" w:before="0" w:line="240" w:lineRule="auto"/>
        <w:ind w:left="720" w:hanging="360"/>
      </w:pPr>
      <w:r w:rsidDel="00000000" w:rsidR="00000000" w:rsidRPr="00000000">
        <w:rPr>
          <w:rtl w:val="0"/>
        </w:rPr>
        <w:t xml:space="preserve">Varicose vein procedures</w:t>
        <w:br w:type="textWrapping"/>
      </w:r>
    </w:p>
    <w:p w:rsidR="00000000" w:rsidDel="00000000" w:rsidP="00000000" w:rsidRDefault="00000000" w:rsidRPr="00000000" w14:paraId="00000025">
      <w:pPr>
        <w:numPr>
          <w:ilvl w:val="0"/>
          <w:numId w:val="1"/>
        </w:numPr>
        <w:spacing w:after="0" w:before="0" w:line="240" w:lineRule="auto"/>
        <w:ind w:left="720" w:hanging="360"/>
      </w:pPr>
      <w:r w:rsidDel="00000000" w:rsidR="00000000" w:rsidRPr="00000000">
        <w:rPr>
          <w:rtl w:val="0"/>
        </w:rPr>
        <w:t xml:space="preserve">Lower extremity joint replacement</w:t>
        <w:br w:type="textWrapping"/>
      </w:r>
    </w:p>
    <w:p w:rsidR="00000000" w:rsidDel="00000000" w:rsidP="00000000" w:rsidRDefault="00000000" w:rsidRPr="00000000" w14:paraId="00000026">
      <w:pPr>
        <w:numPr>
          <w:ilvl w:val="0"/>
          <w:numId w:val="1"/>
        </w:numPr>
        <w:spacing w:after="0" w:before="0" w:line="240" w:lineRule="auto"/>
        <w:ind w:left="720" w:hanging="360"/>
      </w:pPr>
      <w:r w:rsidDel="00000000" w:rsidR="00000000" w:rsidRPr="00000000">
        <w:rPr>
          <w:rtl w:val="0"/>
        </w:rPr>
        <w:t xml:space="preserve">Vertebral augmentation (such as kyphoplasty)</w:t>
        <w:br w:type="textWrapping"/>
      </w:r>
    </w:p>
    <w:p w:rsidR="00000000" w:rsidDel="00000000" w:rsidP="00000000" w:rsidRDefault="00000000" w:rsidRPr="00000000" w14:paraId="00000027">
      <w:pPr>
        <w:numPr>
          <w:ilvl w:val="0"/>
          <w:numId w:val="1"/>
        </w:numPr>
        <w:spacing w:after="0" w:before="0" w:line="240" w:lineRule="auto"/>
        <w:ind w:left="720" w:hanging="360"/>
      </w:pPr>
      <w:r w:rsidDel="00000000" w:rsidR="00000000" w:rsidRPr="00000000">
        <w:rPr>
          <w:rtl w:val="0"/>
        </w:rPr>
        <w:t xml:space="preserve">Cochlear implantation</w:t>
        <w:br w:type="textWrapping"/>
      </w:r>
    </w:p>
    <w:p w:rsidR="00000000" w:rsidDel="00000000" w:rsidP="00000000" w:rsidRDefault="00000000" w:rsidRPr="00000000" w14:paraId="00000028">
      <w:pPr>
        <w:spacing w:after="0" w:before="0" w:line="240" w:lineRule="auto"/>
        <w:rPr/>
      </w:pPr>
      <w:r w:rsidDel="00000000" w:rsidR="00000000" w:rsidRPr="00000000">
        <w:rPr>
          <w:rtl w:val="0"/>
        </w:rPr>
        <w:t xml:space="preserve">CMS selected these services based on data showing high variation in use, frequent improper billing, or a risk of being performed without clear medical necessity.</w:t>
      </w:r>
    </w:p>
    <w:p w:rsidR="00000000" w:rsidDel="00000000" w:rsidP="00000000" w:rsidRDefault="00000000" w:rsidRPr="00000000" w14:paraId="00000029">
      <w:pPr>
        <w:spacing w:after="0" w:before="0" w:line="240" w:lineRule="auto"/>
        <w:rPr/>
      </w:pPr>
      <w:r w:rsidDel="00000000" w:rsidR="00000000" w:rsidRPr="00000000">
        <w:rPr>
          <w:rtl w:val="0"/>
        </w:rPr>
      </w:r>
    </w:p>
    <w:p w:rsidR="00000000" w:rsidDel="00000000" w:rsidP="00000000" w:rsidRDefault="00000000" w:rsidRPr="00000000" w14:paraId="0000002A">
      <w:pPr>
        <w:pStyle w:val="Heading2"/>
        <w:keepNext w:val="0"/>
        <w:keepLines w:val="0"/>
        <w:spacing w:after="0" w:before="0" w:line="240" w:lineRule="auto"/>
        <w:rPr>
          <w:b w:val="1"/>
          <w:sz w:val="34"/>
          <w:szCs w:val="34"/>
        </w:rPr>
      </w:pPr>
      <w:bookmarkStart w:colFirst="0" w:colLast="0" w:name="_93jzow66hxxr" w:id="3"/>
      <w:bookmarkEnd w:id="3"/>
      <w:r w:rsidDel="00000000" w:rsidR="00000000" w:rsidRPr="00000000">
        <w:rPr>
          <w:b w:val="1"/>
          <w:sz w:val="34"/>
          <w:szCs w:val="34"/>
          <w:rtl w:val="0"/>
        </w:rPr>
        <w:t xml:space="preserve">Why This Matters to Agents and Their Clients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spacing w:after="0" w:before="0" w:line="240" w:lineRule="auto"/>
        <w:rPr/>
      </w:pPr>
      <w:r w:rsidDel="00000000" w:rsidR="00000000" w:rsidRPr="00000000">
        <w:rPr>
          <w:rtl w:val="0"/>
        </w:rPr>
        <w:t xml:space="preserve">This change means that beneficiaries who utilize Original Medicare in the pilot states could face new barriers to getting these procedures, similar to what is already common in Medicare Advantage. Providers will need to secure approval before performing these services, or risk payment denials if reviewed later.</w:t>
      </w:r>
    </w:p>
    <w:p w:rsidR="00000000" w:rsidDel="00000000" w:rsidP="00000000" w:rsidRDefault="00000000" w:rsidRPr="00000000" w14:paraId="0000002D">
      <w:pPr>
        <w:spacing w:after="0" w:before="0" w:line="240" w:lineRule="auto"/>
        <w:rPr/>
      </w:pPr>
      <w:r w:rsidDel="00000000" w:rsidR="00000000" w:rsidRPr="00000000">
        <w:rPr>
          <w:rtl w:val="0"/>
        </w:rPr>
      </w:r>
    </w:p>
    <w:p w:rsidR="00000000" w:rsidDel="00000000" w:rsidP="00000000" w:rsidRDefault="00000000" w:rsidRPr="00000000" w14:paraId="0000002E">
      <w:pPr>
        <w:spacing w:after="0" w:before="0" w:line="240" w:lineRule="auto"/>
        <w:rPr/>
      </w:pPr>
      <w:r w:rsidDel="00000000" w:rsidR="00000000" w:rsidRPr="00000000">
        <w:rPr>
          <w:rtl w:val="0"/>
        </w:rPr>
        <w:t xml:space="preserve">Beneficiaries may experience delays in receiving care if prior authorization is not approved quickly. While CMS promises an appeals process for denials, the administrative burden will primarily fall on providers, who must submit clinical documentation to justify the medical need.</w:t>
      </w:r>
    </w:p>
    <w:p w:rsidR="00000000" w:rsidDel="00000000" w:rsidP="00000000" w:rsidRDefault="00000000" w:rsidRPr="00000000" w14:paraId="0000002F">
      <w:pPr>
        <w:spacing w:after="0" w:before="0" w:line="240" w:lineRule="auto"/>
        <w:rPr/>
      </w:pPr>
      <w:r w:rsidDel="00000000" w:rsidR="00000000" w:rsidRPr="00000000">
        <w:rPr>
          <w:rtl w:val="0"/>
        </w:rPr>
        <w:t xml:space="preserve">For agents, this shifts an important talking point. In the past, the absence of prior authorization requirements was often a key advantage of Original Medicare compared to Medicare Advantage. As this pilot rolls out, it is important to communicate clearly with clients about how access to care could change, depending on their location and the services they may need.</w:t>
      </w:r>
    </w:p>
    <w:p w:rsidR="00000000" w:rsidDel="00000000" w:rsidP="00000000" w:rsidRDefault="00000000" w:rsidRPr="00000000" w14:paraId="00000030">
      <w:pPr>
        <w:spacing w:after="0" w:before="0" w:line="240" w:lineRule="auto"/>
        <w:rPr/>
      </w:pPr>
      <w:r w:rsidDel="00000000" w:rsidR="00000000" w:rsidRPr="00000000">
        <w:rPr>
          <w:rtl w:val="0"/>
        </w:rPr>
      </w:r>
    </w:p>
    <w:p w:rsidR="00000000" w:rsidDel="00000000" w:rsidP="00000000" w:rsidRDefault="00000000" w:rsidRPr="00000000" w14:paraId="00000031">
      <w:pPr>
        <w:pStyle w:val="Heading2"/>
        <w:keepNext w:val="0"/>
        <w:keepLines w:val="0"/>
        <w:spacing w:after="0" w:before="0" w:line="240" w:lineRule="auto"/>
        <w:rPr>
          <w:b w:val="1"/>
          <w:sz w:val="34"/>
          <w:szCs w:val="34"/>
        </w:rPr>
      </w:pPr>
      <w:bookmarkStart w:colFirst="0" w:colLast="0" w:name="_nqp68l2ukoh1" w:id="4"/>
      <w:bookmarkEnd w:id="4"/>
      <w:r w:rsidDel="00000000" w:rsidR="00000000" w:rsidRPr="00000000">
        <w:rPr>
          <w:b w:val="1"/>
          <w:sz w:val="34"/>
          <w:szCs w:val="34"/>
          <w:rtl w:val="0"/>
        </w:rPr>
        <w:t xml:space="preserve">Preparing Clients and Providers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spacing w:after="0" w:before="0" w:line="240" w:lineRule="auto"/>
        <w:rPr/>
      </w:pPr>
      <w:r w:rsidDel="00000000" w:rsidR="00000000" w:rsidRPr="00000000">
        <w:rPr>
          <w:rtl w:val="0"/>
        </w:rPr>
        <w:t xml:space="preserve">Agents serving clients in </w:t>
      </w:r>
      <w:r w:rsidDel="00000000" w:rsidR="00000000" w:rsidRPr="00000000">
        <w:rPr>
          <w:b w:val="1"/>
          <w:rtl w:val="0"/>
        </w:rPr>
        <w:t xml:space="preserve">New Jersey, Ohio, Oklahoma, Texas, Arizona, and Washington </w:t>
      </w:r>
      <w:r w:rsidDel="00000000" w:rsidR="00000000" w:rsidRPr="00000000">
        <w:rPr>
          <w:rtl w:val="0"/>
        </w:rPr>
        <w:t xml:space="preserve">should be proactive. They can start by reviewing whether clients are likely to need any of these 17 services in the coming years and discuss how these changes may impact decisions between staying with Original Medicare or exploring Medicare Advantage plans, which already have well-established prior authorization processes. </w:t>
      </w:r>
    </w:p>
    <w:p w:rsidR="00000000" w:rsidDel="00000000" w:rsidP="00000000" w:rsidRDefault="00000000" w:rsidRPr="00000000" w14:paraId="00000034">
      <w:pPr>
        <w:spacing w:after="0" w:before="0" w:line="240" w:lineRule="auto"/>
        <w:rPr/>
      </w:pPr>
      <w:r w:rsidDel="00000000" w:rsidR="00000000" w:rsidRPr="00000000">
        <w:rPr>
          <w:rtl w:val="0"/>
        </w:rPr>
      </w:r>
    </w:p>
    <w:p w:rsidR="00000000" w:rsidDel="00000000" w:rsidP="00000000" w:rsidRDefault="00000000" w:rsidRPr="00000000" w14:paraId="00000035">
      <w:pPr>
        <w:spacing w:after="0" w:before="0" w:line="240" w:lineRule="auto"/>
        <w:rPr/>
      </w:pPr>
      <w:r w:rsidDel="00000000" w:rsidR="00000000" w:rsidRPr="00000000">
        <w:rPr>
          <w:rtl w:val="0"/>
        </w:rPr>
      </w:r>
    </w:p>
    <w:p w:rsidR="00000000" w:rsidDel="00000000" w:rsidP="00000000" w:rsidRDefault="00000000" w:rsidRPr="00000000" w14:paraId="00000036">
      <w:pPr>
        <w:pStyle w:val="Heading2"/>
        <w:keepNext w:val="0"/>
        <w:keepLines w:val="0"/>
        <w:spacing w:after="80" w:line="240" w:lineRule="auto"/>
        <w:rPr>
          <w:b w:val="1"/>
          <w:sz w:val="34"/>
          <w:szCs w:val="34"/>
        </w:rPr>
      </w:pPr>
      <w:bookmarkStart w:colFirst="0" w:colLast="0" w:name="_p56282um2n6t" w:id="5"/>
      <w:bookmarkEnd w:id="5"/>
      <w:r w:rsidDel="00000000" w:rsidR="00000000" w:rsidRPr="00000000">
        <w:rPr>
          <w:b w:val="1"/>
          <w:sz w:val="34"/>
          <w:szCs w:val="34"/>
          <w:rtl w:val="0"/>
        </w:rPr>
        <w:t xml:space="preserve">Conclusion</w:t>
      </w:r>
    </w:p>
    <w:p w:rsidR="00000000" w:rsidDel="00000000" w:rsidP="00000000" w:rsidRDefault="00000000" w:rsidRPr="00000000" w14:paraId="00000037">
      <w:pPr>
        <w:spacing w:after="240" w:before="240" w:line="240" w:lineRule="auto"/>
        <w:rPr/>
      </w:pPr>
      <w:r w:rsidDel="00000000" w:rsidR="00000000" w:rsidRPr="00000000">
        <w:rPr>
          <w:rtl w:val="0"/>
        </w:rPr>
        <w:t xml:space="preserve">The introduction of prior authorization to Original Medicare represents a major shift that will directly impact how care is delivered and accessed. While the program aims to reduce fraud and unnecessary spending, it also introduces new administrative hurdles that could delay or limit patient care.</w:t>
      </w:r>
    </w:p>
    <w:p w:rsidR="00000000" w:rsidDel="00000000" w:rsidP="00000000" w:rsidRDefault="00000000" w:rsidRPr="00000000" w14:paraId="00000038">
      <w:pPr>
        <w:spacing w:after="240" w:before="240" w:line="240" w:lineRule="auto"/>
        <w:rPr/>
      </w:pPr>
      <w:r w:rsidDel="00000000" w:rsidR="00000000" w:rsidRPr="00000000">
        <w:rPr>
          <w:rtl w:val="0"/>
        </w:rPr>
        <w:t xml:space="preserve">For agents, staying informed is critical. Understanding which of their clients may be affected, what services are included, and how these changes might influence coverage choices will help ensure beneficiaries continue to receive the care they need with as little disruption as possible. This shift may also introduce new enrollment opportunities for those who prefer less interference when it comes to these coverages.</w:t>
      </w:r>
    </w:p>
    <w:p w:rsidR="00000000" w:rsidDel="00000000" w:rsidP="00000000" w:rsidRDefault="00000000" w:rsidRPr="00000000" w14:paraId="00000039">
      <w:pPr>
        <w:spacing w:after="240" w:before="240" w:line="240" w:lineRule="auto"/>
        <w:rPr>
          <w:b w:val="1"/>
          <w:sz w:val="34"/>
          <w:szCs w:val="34"/>
        </w:rPr>
      </w:pPr>
      <w:r w:rsidDel="00000000" w:rsidR="00000000" w:rsidRPr="00000000">
        <w:rPr>
          <w:rtl w:val="0"/>
        </w:rPr>
        <w:t xml:space="preserve">As CMS moves forward with this initiative, ongoing communication with both clients and providers will be key to navigating these new requirements and maintaining trust in the Medicare system.</w:t>
        <w:br w:type="textWrapping"/>
      </w:r>
      <w:r w:rsidDel="00000000" w:rsidR="00000000" w:rsidRPr="00000000">
        <w:rPr>
          <w:rtl w:val="0"/>
        </w:rPr>
      </w:r>
    </w:p>
    <w:p w:rsidR="00000000" w:rsidDel="00000000" w:rsidP="00000000" w:rsidRDefault="00000000" w:rsidRPr="00000000" w14:paraId="0000003A">
      <w:pPr>
        <w:pStyle w:val="Heading2"/>
        <w:keepNext w:val="0"/>
        <w:keepLines w:val="0"/>
        <w:spacing w:after="0" w:before="0" w:line="240" w:lineRule="auto"/>
        <w:rPr>
          <w:b w:val="1"/>
          <w:sz w:val="34"/>
          <w:szCs w:val="34"/>
        </w:rPr>
      </w:pPr>
      <w:bookmarkStart w:colFirst="0" w:colLast="0" w:name="_f2lv1xddbuwi" w:id="6"/>
      <w:bookmarkEnd w:id="6"/>
      <w:r w:rsidDel="00000000" w:rsidR="00000000" w:rsidRPr="00000000">
        <w:rPr>
          <w:b w:val="1"/>
          <w:sz w:val="34"/>
          <w:szCs w:val="34"/>
          <w:rtl w:val="0"/>
        </w:rPr>
        <w:t xml:space="preserve">Sources</w:t>
      </w:r>
    </w:p>
    <w:p w:rsidR="00000000" w:rsidDel="00000000" w:rsidP="00000000" w:rsidRDefault="00000000" w:rsidRPr="00000000" w14:paraId="0000003B">
      <w:pPr>
        <w:spacing w:after="0" w:before="0" w:line="240" w:lineRule="auto"/>
        <w:rPr/>
      </w:pPr>
      <w:r w:rsidDel="00000000" w:rsidR="00000000" w:rsidRPr="00000000">
        <w:rPr>
          <w:rtl w:val="0"/>
        </w:rPr>
      </w:r>
    </w:p>
    <w:p w:rsidR="00000000" w:rsidDel="00000000" w:rsidP="00000000" w:rsidRDefault="00000000" w:rsidRPr="00000000" w14:paraId="0000003C">
      <w:pPr>
        <w:spacing w:after="0" w:before="0" w:line="240" w:lineRule="auto"/>
        <w:ind w:left="0" w:firstLine="0"/>
        <w:rPr/>
      </w:pPr>
      <w:r w:rsidDel="00000000" w:rsidR="00000000" w:rsidRPr="00000000">
        <w:rPr>
          <w:rtl w:val="0"/>
        </w:rPr>
        <w:t xml:space="preserve">Centers for Medicare &amp; Medicaid Services (CMS) WISeR Fact Sheet: </w:t>
      </w:r>
      <w:hyperlink r:id="rId6">
        <w:r w:rsidDel="00000000" w:rsidR="00000000" w:rsidRPr="00000000">
          <w:rPr>
            <w:color w:val="1155cc"/>
            <w:u w:val="single"/>
            <w:rtl w:val="0"/>
          </w:rPr>
          <w:t xml:space="preserve">https://innovation.cms.gov/media/document/wiser-fact-sheet</w:t>
        </w:r>
      </w:hyperlink>
      <w:r w:rsidDel="00000000" w:rsidR="00000000" w:rsidRPr="00000000">
        <w:rPr>
          <w:rtl w:val="0"/>
        </w:rPr>
      </w:r>
    </w:p>
    <w:p w:rsidR="00000000" w:rsidDel="00000000" w:rsidP="00000000" w:rsidRDefault="00000000" w:rsidRPr="00000000" w14:paraId="0000003D">
      <w:pPr>
        <w:spacing w:after="0" w:before="0" w:line="240" w:lineRule="auto"/>
        <w:ind w:left="0" w:firstLine="0"/>
        <w:rPr/>
      </w:pPr>
      <w:r w:rsidDel="00000000" w:rsidR="00000000" w:rsidRPr="00000000">
        <w:rPr>
          <w:rtl w:val="0"/>
        </w:rPr>
      </w:r>
    </w:p>
    <w:p w:rsidR="00000000" w:rsidDel="00000000" w:rsidP="00000000" w:rsidRDefault="00000000" w:rsidRPr="00000000" w14:paraId="0000003E">
      <w:pPr>
        <w:spacing w:after="0" w:before="0" w:line="240" w:lineRule="auto"/>
        <w:ind w:left="0" w:firstLine="0"/>
        <w:rPr>
          <w:color w:val="1155cc"/>
          <w:u w:val="single"/>
        </w:rPr>
      </w:pPr>
      <w:r w:rsidDel="00000000" w:rsidR="00000000" w:rsidRPr="00000000">
        <w:rPr>
          <w:rtl w:val="0"/>
        </w:rPr>
        <w:t xml:space="preserve">Kiplinger, “Prior Authorization Coming to Traditional Medicare”:</w:t>
      </w:r>
      <w:hyperlink r:id="rId7">
        <w:r w:rsidDel="00000000" w:rsidR="00000000" w:rsidRPr="00000000">
          <w:rPr>
            <w:rtl w:val="0"/>
          </w:rPr>
          <w:t xml:space="preserve"> </w:t>
        </w:r>
      </w:hyperlink>
      <w:hyperlink r:id="rId8">
        <w:r w:rsidDel="00000000" w:rsidR="00000000" w:rsidRPr="00000000">
          <w:rPr>
            <w:color w:val="1155cc"/>
            <w:u w:val="single"/>
            <w:rtl w:val="0"/>
          </w:rPr>
          <w:t xml:space="preserve">https://www.kiplinger.com/retirement/medicare/prior-authorization-coming-to-traditional-medicare</w:t>
          <w:br w:type="textWrapping"/>
        </w:r>
      </w:hyperlink>
      <w:r w:rsidDel="00000000" w:rsidR="00000000" w:rsidRPr="00000000">
        <w:rPr>
          <w:rtl w:val="0"/>
        </w:rPr>
      </w:r>
    </w:p>
    <w:p w:rsidR="00000000" w:rsidDel="00000000" w:rsidP="00000000" w:rsidRDefault="00000000" w:rsidRPr="00000000" w14:paraId="0000003F">
      <w:pPr>
        <w:spacing w:after="0" w:before="0" w:line="240" w:lineRule="auto"/>
        <w:ind w:left="0" w:firstLine="0"/>
        <w:rPr/>
      </w:pPr>
      <w:r w:rsidDel="00000000" w:rsidR="00000000" w:rsidRPr="00000000">
        <w:rPr>
          <w:rtl w:val="0"/>
        </w:rPr>
        <w:t xml:space="preserve">Axios, “Medicare to Add Prior Authorization”:</w:t>
      </w:r>
    </w:p>
    <w:p w:rsidR="00000000" w:rsidDel="00000000" w:rsidP="00000000" w:rsidRDefault="00000000" w:rsidRPr="00000000" w14:paraId="00000040">
      <w:pPr>
        <w:spacing w:after="0" w:before="0" w:line="240" w:lineRule="auto"/>
        <w:ind w:left="0" w:firstLine="0"/>
        <w:rPr/>
      </w:pPr>
      <w:hyperlink r:id="rId9">
        <w:r w:rsidDel="00000000" w:rsidR="00000000" w:rsidRPr="00000000">
          <w:rPr>
            <w:color w:val="1155cc"/>
            <w:u w:val="single"/>
            <w:rtl w:val="0"/>
          </w:rPr>
          <w:t xml:space="preserve">https://www.axios.com/2025/06/27/medicare-add-prior-authorization-ai</w:t>
        </w:r>
      </w:hyperlink>
      <w:r w:rsidDel="00000000" w:rsidR="00000000" w:rsidRPr="00000000">
        <w:rPr>
          <w:rtl w:val="0"/>
        </w:rPr>
      </w:r>
    </w:p>
    <w:p w:rsidR="00000000" w:rsidDel="00000000" w:rsidP="00000000" w:rsidRDefault="00000000" w:rsidRPr="00000000" w14:paraId="00000041">
      <w:pPr>
        <w:spacing w:after="0" w:before="0" w:line="240" w:lineRule="auto"/>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xios.com/2025/06/27/medicare-add-prior-authorization-ai" TargetMode="External"/><Relationship Id="rId5" Type="http://schemas.openxmlformats.org/officeDocument/2006/relationships/styles" Target="styles.xml"/><Relationship Id="rId6" Type="http://schemas.openxmlformats.org/officeDocument/2006/relationships/hyperlink" Target="https://innovation.cms.gov/media/document/wiser-fact-sheet" TargetMode="External"/><Relationship Id="rId7" Type="http://schemas.openxmlformats.org/officeDocument/2006/relationships/hyperlink" Target="https://www.kiplinger.com/retirement/medicare/prior-authorization-coming-to-traditional-medicare" TargetMode="External"/><Relationship Id="rId8" Type="http://schemas.openxmlformats.org/officeDocument/2006/relationships/hyperlink" Target="https://www.kiplinger.com/retirement/medicare/prior-authorization-coming-to-traditional-medi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