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4357688" cy="3561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57688" cy="3561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before="0" w:line="240" w:lineRule="auto"/>
        <w:rPr>
          <w:rFonts w:ascii="Montserrat" w:cs="Montserrat" w:eastAsia="Montserrat" w:hAnsi="Montserrat"/>
          <w:b w:val="1"/>
          <w:color w:val="9e28b5"/>
          <w:sz w:val="50"/>
          <w:szCs w:val="50"/>
        </w:rPr>
      </w:pPr>
      <w:r w:rsidDel="00000000" w:rsidR="00000000" w:rsidRPr="00000000">
        <w:rPr>
          <w:rFonts w:ascii="Montserrat" w:cs="Montserrat" w:eastAsia="Montserrat" w:hAnsi="Montserrat"/>
          <w:b w:val="1"/>
          <w:color w:val="9e28b5"/>
          <w:sz w:val="50"/>
          <w:szCs w:val="50"/>
          <w:rtl w:val="0"/>
        </w:rPr>
        <w:t xml:space="preserve">Cigna Healthcare Medicare is Now HealthSpring.</w:t>
      </w:r>
    </w:p>
    <w:p w:rsidR="00000000" w:rsidDel="00000000" w:rsidP="00000000" w:rsidRDefault="00000000" w:rsidRPr="00000000" w14:paraId="00000004">
      <w:pPr>
        <w:spacing w:after="0" w:before="0" w:line="240" w:lineRule="auto"/>
        <w:rPr>
          <w:rFonts w:ascii="Georgia" w:cs="Georgia" w:eastAsia="Georgia" w:hAnsi="Georgia"/>
          <w:b w:val="1"/>
          <w:color w:val="0133fd"/>
          <w:sz w:val="24"/>
          <w:szCs w:val="24"/>
        </w:rPr>
      </w:pPr>
      <w:r w:rsidDel="00000000" w:rsidR="00000000" w:rsidRPr="00000000">
        <w:rPr>
          <w:rtl w:val="0"/>
        </w:rPr>
      </w:r>
    </w:p>
    <w:p w:rsidR="00000000" w:rsidDel="00000000" w:rsidP="00000000" w:rsidRDefault="00000000" w:rsidRPr="00000000" w14:paraId="00000005">
      <w:pPr>
        <w:spacing w:after="0" w:before="0" w:line="240" w:lineRule="auto"/>
        <w:rPr>
          <w:rFonts w:ascii="Georgia" w:cs="Georgia" w:eastAsia="Georgia" w:hAnsi="Georgia"/>
          <w:b w:val="1"/>
          <w:color w:val="9e28b5"/>
          <w:sz w:val="28"/>
          <w:szCs w:val="28"/>
        </w:rPr>
      </w:pPr>
      <w:r w:rsidDel="00000000" w:rsidR="00000000" w:rsidRPr="00000000">
        <w:rPr>
          <w:b w:val="1"/>
          <w:color w:val="9e28b5"/>
          <w:sz w:val="28"/>
          <w:szCs w:val="28"/>
          <w:rtl w:val="0"/>
        </w:rPr>
        <w:t xml:space="preserve">We're excited to announce our new Medicare brand for 2026 and beyond.</w:t>
      </w:r>
      <w:r w:rsidDel="00000000" w:rsidR="00000000" w:rsidRPr="00000000">
        <w:rPr>
          <w:rtl w:val="0"/>
        </w:rPr>
      </w:r>
    </w:p>
    <w:p w:rsidR="00000000" w:rsidDel="00000000" w:rsidP="00000000" w:rsidRDefault="00000000" w:rsidRPr="00000000" w14:paraId="00000006">
      <w:pPr>
        <w:spacing w:line="240" w:lineRule="auto"/>
        <w:rPr>
          <w:rFonts w:ascii="Verdana" w:cs="Verdana" w:eastAsia="Verdana" w:hAnsi="Verdana"/>
          <w:color w:val="0133fd"/>
          <w:sz w:val="14"/>
          <w:szCs w:val="14"/>
        </w:rPr>
      </w:pPr>
      <w:r w:rsidDel="00000000" w:rsidR="00000000" w:rsidRPr="00000000">
        <w:rPr>
          <w:rtl w:val="0"/>
        </w:rPr>
      </w:r>
    </w:p>
    <w:p w:rsidR="00000000" w:rsidDel="00000000" w:rsidP="00000000" w:rsidRDefault="00000000" w:rsidRPr="00000000" w14:paraId="00000007">
      <w:pPr>
        <w:spacing w:after="0" w:before="0" w:line="240" w:lineRule="auto"/>
        <w:rPr>
          <w:b w:val="1"/>
          <w:color w:val="1f1647"/>
          <w:sz w:val="28"/>
          <w:szCs w:val="28"/>
        </w:rPr>
      </w:pPr>
      <w:r w:rsidDel="00000000" w:rsidR="00000000" w:rsidRPr="00000000">
        <w:rPr>
          <w:color w:val="1f1647"/>
          <w:sz w:val="28"/>
          <w:szCs w:val="28"/>
          <w:rtl w:val="0"/>
        </w:rPr>
        <w:t xml:space="preserve">Cigna Healthcare® Medicare is now </w:t>
      </w:r>
      <w:r w:rsidDel="00000000" w:rsidR="00000000" w:rsidRPr="00000000">
        <w:rPr>
          <w:b w:val="1"/>
          <w:color w:val="1f1647"/>
          <w:sz w:val="28"/>
          <w:szCs w:val="28"/>
          <w:rtl w:val="0"/>
        </w:rPr>
        <w:t xml:space="preserve">HealthSpring!</w:t>
        <w:br w:type="textWrapping"/>
      </w:r>
    </w:p>
    <w:p w:rsidR="00000000" w:rsidDel="00000000" w:rsidP="00000000" w:rsidRDefault="00000000" w:rsidRPr="00000000" w14:paraId="00000008">
      <w:pPr>
        <w:spacing w:after="0" w:before="0" w:line="240" w:lineRule="auto"/>
        <w:rPr>
          <w:color w:val="1f1647"/>
          <w:sz w:val="28"/>
          <w:szCs w:val="28"/>
        </w:rPr>
      </w:pPr>
      <w:r w:rsidDel="00000000" w:rsidR="00000000" w:rsidRPr="00000000">
        <w:rPr>
          <w:color w:val="1f1647"/>
          <w:sz w:val="28"/>
          <w:szCs w:val="28"/>
          <w:rtl w:val="0"/>
        </w:rPr>
        <w:t xml:space="preserve">As you know, the Cigna Healthcare Medicare business was acquired by Health Care Service Corporation in March 2025. We've been working hard to revitalize our brand while bringing you the same products and benefits that you trust. We're excited to unveil our new name and will share more details about the brand in the coming weeks! Check out</w:t>
      </w:r>
      <w:hyperlink r:id="rId7">
        <w:r w:rsidDel="00000000" w:rsidR="00000000" w:rsidRPr="00000000">
          <w:rPr>
            <w:color w:val="1f1647"/>
            <w:sz w:val="28"/>
            <w:szCs w:val="28"/>
            <w:rtl w:val="0"/>
          </w:rPr>
          <w:t xml:space="preserve"> </w:t>
        </w:r>
      </w:hyperlink>
      <w:hyperlink r:id="rId8">
        <w:r w:rsidDel="00000000" w:rsidR="00000000" w:rsidRPr="00000000">
          <w:rPr>
            <w:color w:val="9e28b5"/>
            <w:sz w:val="28"/>
            <w:szCs w:val="28"/>
            <w:u w:val="single"/>
            <w:rtl w:val="0"/>
          </w:rPr>
          <w:t xml:space="preserve">this press release</w:t>
        </w:r>
      </w:hyperlink>
      <w:r w:rsidDel="00000000" w:rsidR="00000000" w:rsidRPr="00000000">
        <w:rPr>
          <w:color w:val="1f1647"/>
          <w:sz w:val="28"/>
          <w:szCs w:val="28"/>
          <w:rtl w:val="0"/>
        </w:rPr>
        <w:t xml:space="preserve"> to learn more.</w:t>
      </w:r>
    </w:p>
    <w:p w:rsidR="00000000" w:rsidDel="00000000" w:rsidP="00000000" w:rsidRDefault="00000000" w:rsidRPr="00000000" w14:paraId="00000009">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0A">
      <w:pPr>
        <w:spacing w:after="0" w:before="0" w:line="240" w:lineRule="auto"/>
        <w:rPr>
          <w:color w:val="1f1647"/>
          <w:sz w:val="28"/>
          <w:szCs w:val="28"/>
        </w:rPr>
      </w:pPr>
      <w:r w:rsidDel="00000000" w:rsidR="00000000" w:rsidRPr="00000000">
        <w:rPr>
          <w:color w:val="1f1647"/>
          <w:sz w:val="28"/>
          <w:szCs w:val="28"/>
          <w:rtl w:val="0"/>
        </w:rPr>
        <w:t xml:space="preserve">Here's what you need to know now:</w:t>
      </w:r>
    </w:p>
    <w:p w:rsidR="00000000" w:rsidDel="00000000" w:rsidP="00000000" w:rsidRDefault="00000000" w:rsidRPr="00000000" w14:paraId="0000000B">
      <w:pPr>
        <w:spacing w:after="0" w:before="0" w:line="240" w:lineRule="auto"/>
        <w:ind w:left="0" w:firstLine="0"/>
        <w:rPr>
          <w:color w:val="1f1647"/>
          <w:sz w:val="28"/>
          <w:szCs w:val="28"/>
        </w:rPr>
      </w:pPr>
      <w:r w:rsidDel="00000000" w:rsidR="00000000" w:rsidRPr="00000000">
        <w:rPr>
          <w:rtl w:val="0"/>
        </w:rPr>
      </w:r>
    </w:p>
    <w:p w:rsidR="00000000" w:rsidDel="00000000" w:rsidP="00000000" w:rsidRDefault="00000000" w:rsidRPr="00000000" w14:paraId="0000000C">
      <w:pPr>
        <w:spacing w:after="0" w:before="0" w:line="240" w:lineRule="auto"/>
        <w:ind w:left="0" w:firstLine="0"/>
        <w:rPr>
          <w:b w:val="1"/>
          <w:color w:val="1f1647"/>
          <w:sz w:val="28"/>
          <w:szCs w:val="28"/>
        </w:rPr>
      </w:pPr>
      <w:r w:rsidDel="00000000" w:rsidR="00000000" w:rsidRPr="00000000">
        <w:rPr>
          <w:b w:val="1"/>
          <w:color w:val="1f1647"/>
          <w:sz w:val="28"/>
          <w:szCs w:val="28"/>
          <w:rtl w:val="0"/>
        </w:rPr>
        <w:t xml:space="preserve">Question: Why did we choose HealthSpring?</w:t>
      </w:r>
    </w:p>
    <w:p w:rsidR="00000000" w:rsidDel="00000000" w:rsidP="00000000" w:rsidRDefault="00000000" w:rsidRPr="00000000" w14:paraId="0000000D">
      <w:pPr>
        <w:spacing w:after="0" w:before="0" w:line="240" w:lineRule="auto"/>
        <w:ind w:left="720" w:firstLine="0"/>
        <w:rPr>
          <w:color w:val="1f1647"/>
          <w:sz w:val="28"/>
          <w:szCs w:val="28"/>
        </w:rPr>
      </w:pPr>
      <w:r w:rsidDel="00000000" w:rsidR="00000000" w:rsidRPr="00000000">
        <w:rPr>
          <w:rFonts w:ascii="Times New Roman" w:cs="Times New Roman" w:eastAsia="Times New Roman" w:hAnsi="Times New Roman"/>
          <w:color w:val="1f1647"/>
          <w:sz w:val="28"/>
          <w:szCs w:val="28"/>
          <w:rtl w:val="0"/>
        </w:rPr>
        <w:t xml:space="preserve"> </w:t>
      </w:r>
      <w:r w:rsidDel="00000000" w:rsidR="00000000" w:rsidRPr="00000000">
        <w:rPr>
          <w:b w:val="1"/>
          <w:color w:val="9e28b5"/>
          <w:sz w:val="28"/>
          <w:szCs w:val="28"/>
          <w:rtl w:val="0"/>
        </w:rPr>
        <w:t xml:space="preserve">Answer:</w:t>
      </w:r>
      <w:r w:rsidDel="00000000" w:rsidR="00000000" w:rsidRPr="00000000">
        <w:rPr>
          <w:color w:val="1f1647"/>
          <w:sz w:val="28"/>
          <w:szCs w:val="28"/>
          <w:rtl w:val="0"/>
        </w:rPr>
        <w:t xml:space="preserve"> The HealthSpring brand is a trusted name that reflects our role as your partner and provider of Medicare benefits to customers for over a century. Our goal is to empower our members to live vibrant and healthy lives, and the HealthSpring name is a reminder of this mission.</w:t>
      </w:r>
    </w:p>
    <w:p w:rsidR="00000000" w:rsidDel="00000000" w:rsidP="00000000" w:rsidRDefault="00000000" w:rsidRPr="00000000" w14:paraId="0000000E">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0F">
      <w:pPr>
        <w:spacing w:after="0" w:before="0" w:line="240" w:lineRule="auto"/>
        <w:rPr>
          <w:b w:val="1"/>
          <w:color w:val="1f1647"/>
          <w:sz w:val="28"/>
          <w:szCs w:val="28"/>
        </w:rPr>
      </w:pPr>
      <w:r w:rsidDel="00000000" w:rsidR="00000000" w:rsidRPr="00000000">
        <w:rPr>
          <w:b w:val="1"/>
          <w:color w:val="1f1647"/>
          <w:sz w:val="28"/>
          <w:szCs w:val="28"/>
          <w:rtl w:val="0"/>
        </w:rPr>
        <w:t xml:space="preserve">Question: Does the new brand name impact current Cigna Healthcare Medicare products?</w:t>
      </w:r>
    </w:p>
    <w:p w:rsidR="00000000" w:rsidDel="00000000" w:rsidP="00000000" w:rsidRDefault="00000000" w:rsidRPr="00000000" w14:paraId="00000010">
      <w:pPr>
        <w:spacing w:after="0" w:before="0" w:line="240" w:lineRule="auto"/>
        <w:ind w:left="720" w:firstLine="0"/>
        <w:rPr>
          <w:color w:val="1f1647"/>
          <w:sz w:val="28"/>
          <w:szCs w:val="28"/>
        </w:rPr>
      </w:pPr>
      <w:r w:rsidDel="00000000" w:rsidR="00000000" w:rsidRPr="00000000">
        <w:rPr>
          <w:b w:val="1"/>
          <w:color w:val="9e28b5"/>
          <w:sz w:val="28"/>
          <w:szCs w:val="28"/>
          <w:rtl w:val="0"/>
        </w:rPr>
        <w:t xml:space="preserve">Answer:</w:t>
      </w:r>
      <w:r w:rsidDel="00000000" w:rsidR="00000000" w:rsidRPr="00000000">
        <w:rPr>
          <w:color w:val="1f1647"/>
          <w:sz w:val="28"/>
          <w:szCs w:val="28"/>
          <w:rtl w:val="0"/>
        </w:rPr>
        <w:t xml:space="preserve"> No. We will continue to sell our current Cigna Healthcare Medicare products through the end of 2025. We will offer our 2026 plans and benefits under our new name, HealthSpring.</w:t>
      </w:r>
    </w:p>
    <w:p w:rsidR="00000000" w:rsidDel="00000000" w:rsidP="00000000" w:rsidRDefault="00000000" w:rsidRPr="00000000" w14:paraId="00000011">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12">
      <w:pPr>
        <w:spacing w:after="0" w:before="0" w:line="240" w:lineRule="auto"/>
        <w:rPr>
          <w:b w:val="1"/>
          <w:color w:val="1f1647"/>
          <w:sz w:val="28"/>
          <w:szCs w:val="28"/>
        </w:rPr>
      </w:pPr>
      <w:r w:rsidDel="00000000" w:rsidR="00000000" w:rsidRPr="00000000">
        <w:rPr>
          <w:b w:val="1"/>
          <w:color w:val="1f1647"/>
          <w:sz w:val="28"/>
          <w:szCs w:val="28"/>
          <w:rtl w:val="0"/>
        </w:rPr>
        <w:t xml:space="preserve">Question: How will current members learn of the new brand?</w:t>
      </w:r>
    </w:p>
    <w:p w:rsidR="00000000" w:rsidDel="00000000" w:rsidP="00000000" w:rsidRDefault="00000000" w:rsidRPr="00000000" w14:paraId="00000013">
      <w:pPr>
        <w:spacing w:after="0" w:before="0" w:line="240" w:lineRule="auto"/>
        <w:ind w:left="720" w:firstLine="0"/>
        <w:rPr>
          <w:color w:val="1f1647"/>
          <w:sz w:val="28"/>
          <w:szCs w:val="28"/>
        </w:rPr>
      </w:pPr>
      <w:r w:rsidDel="00000000" w:rsidR="00000000" w:rsidRPr="00000000">
        <w:rPr>
          <w:b w:val="1"/>
          <w:color w:val="9e28b5"/>
          <w:sz w:val="28"/>
          <w:szCs w:val="28"/>
          <w:rtl w:val="0"/>
        </w:rPr>
        <w:t xml:space="preserve">Answer:</w:t>
      </w:r>
      <w:r w:rsidDel="00000000" w:rsidR="00000000" w:rsidRPr="00000000">
        <w:rPr>
          <w:color w:val="1f1647"/>
          <w:sz w:val="28"/>
          <w:szCs w:val="28"/>
          <w:rtl w:val="0"/>
        </w:rPr>
        <w:t xml:space="preserve"> Members were notified of the new brand via the press release that came out earlier this morning. They will also see a notice on the member website, in the Annual Notice of Coverage (ANOC), and in a few other places in the coming months.</w:t>
      </w:r>
    </w:p>
    <w:p w:rsidR="00000000" w:rsidDel="00000000" w:rsidP="00000000" w:rsidRDefault="00000000" w:rsidRPr="00000000" w14:paraId="00000014">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15">
      <w:pPr>
        <w:spacing w:after="0" w:before="0" w:line="240" w:lineRule="auto"/>
        <w:rPr>
          <w:color w:val="1f1647"/>
          <w:sz w:val="28"/>
          <w:szCs w:val="28"/>
        </w:rPr>
      </w:pPr>
      <w:r w:rsidDel="00000000" w:rsidR="00000000" w:rsidRPr="00000000">
        <w:rPr>
          <w:color w:val="1f1647"/>
          <w:sz w:val="28"/>
          <w:szCs w:val="28"/>
          <w:rtl w:val="0"/>
        </w:rPr>
        <w:t xml:space="preserve">We will share more information with you in the coming weeks. We hope you feel as excited as we do about our partnership and what we will offer our customers in the coming years!</w:t>
      </w:r>
    </w:p>
    <w:p w:rsidR="00000000" w:rsidDel="00000000" w:rsidP="00000000" w:rsidRDefault="00000000" w:rsidRPr="00000000" w14:paraId="00000016">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17">
      <w:pPr>
        <w:spacing w:after="0" w:before="0" w:line="240" w:lineRule="auto"/>
        <w:rPr>
          <w:b w:val="1"/>
          <w:color w:val="1f1647"/>
          <w:sz w:val="28"/>
          <w:szCs w:val="28"/>
        </w:rPr>
      </w:pPr>
      <w:r w:rsidDel="00000000" w:rsidR="00000000" w:rsidRPr="00000000">
        <w:rPr>
          <w:b w:val="1"/>
          <w:color w:val="1f1647"/>
          <w:sz w:val="28"/>
          <w:szCs w:val="28"/>
          <w:rtl w:val="0"/>
        </w:rPr>
        <w:t xml:space="preserve">Questions?</w:t>
      </w:r>
    </w:p>
    <w:p w:rsidR="00000000" w:rsidDel="00000000" w:rsidP="00000000" w:rsidRDefault="00000000" w:rsidRPr="00000000" w14:paraId="00000018">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19">
      <w:pPr>
        <w:spacing w:after="0" w:before="0" w:line="240" w:lineRule="auto"/>
        <w:rPr>
          <w:color w:val="1f1647"/>
          <w:sz w:val="28"/>
          <w:szCs w:val="28"/>
        </w:rPr>
      </w:pPr>
      <w:r w:rsidDel="00000000" w:rsidR="00000000" w:rsidRPr="00000000">
        <w:rPr>
          <w:color w:val="1f1647"/>
          <w:sz w:val="28"/>
          <w:szCs w:val="28"/>
          <w:rtl w:val="0"/>
        </w:rPr>
        <w:t xml:space="preserve">Please contact our agent support teams listed below, your local or virtual Broker Manager teams, Account Manager, or Regional Vice President as needed.</w:t>
      </w:r>
    </w:p>
    <w:p w:rsidR="00000000" w:rsidDel="00000000" w:rsidP="00000000" w:rsidRDefault="00000000" w:rsidRPr="00000000" w14:paraId="0000001A">
      <w:pPr>
        <w:spacing w:line="240" w:lineRule="auto"/>
        <w:rPr>
          <w:i w:val="1"/>
          <w:color w:val="0033ff"/>
          <w:sz w:val="28"/>
          <w:szCs w:val="28"/>
        </w:rPr>
      </w:pPr>
      <w:r w:rsidDel="00000000" w:rsidR="00000000" w:rsidRPr="00000000">
        <w:rPr>
          <w:rtl w:val="0"/>
        </w:rPr>
      </w:r>
    </w:p>
    <w:p w:rsidR="00000000" w:rsidDel="00000000" w:rsidP="00000000" w:rsidRDefault="00000000" w:rsidRPr="00000000" w14:paraId="0000001B">
      <w:pPr>
        <w:spacing w:line="240" w:lineRule="auto"/>
        <w:rPr>
          <w:rFonts w:ascii="Verdana" w:cs="Verdana" w:eastAsia="Verdana" w:hAnsi="Verdana"/>
          <w:color w:val="333333"/>
          <w:sz w:val="28"/>
          <w:szCs w:val="28"/>
        </w:rPr>
      </w:pPr>
      <w:r w:rsidDel="00000000" w:rsidR="00000000" w:rsidRPr="00000000">
        <w:rPr>
          <w:rFonts w:ascii="Verdana" w:cs="Verdana" w:eastAsia="Verdana" w:hAnsi="Verdana"/>
          <w:color w:val="333333"/>
          <w:sz w:val="28"/>
          <w:szCs w:val="28"/>
        </w:rPr>
        <w:drawing>
          <wp:inline distB="114300" distT="114300" distL="114300" distR="114300">
            <wp:extent cx="2462213" cy="453773"/>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462213" cy="45377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before="0" w:line="240" w:lineRule="auto"/>
        <w:rPr>
          <w:b w:val="1"/>
          <w:color w:val="1f1647"/>
          <w:sz w:val="28"/>
          <w:szCs w:val="28"/>
        </w:rPr>
      </w:pPr>
      <w:r w:rsidDel="00000000" w:rsidR="00000000" w:rsidRPr="00000000">
        <w:rPr>
          <w:b w:val="1"/>
          <w:color w:val="1f1647"/>
          <w:sz w:val="28"/>
          <w:szCs w:val="28"/>
          <w:rtl w:val="0"/>
        </w:rPr>
        <w:t xml:space="preserve">MA/PDP</w:t>
      </w:r>
    </w:p>
    <w:p w:rsidR="00000000" w:rsidDel="00000000" w:rsidP="00000000" w:rsidRDefault="00000000" w:rsidRPr="00000000" w14:paraId="0000001D">
      <w:pPr>
        <w:spacing w:after="0" w:before="0" w:line="240" w:lineRule="auto"/>
        <w:rPr>
          <w:color w:val="1f1647"/>
          <w:sz w:val="28"/>
          <w:szCs w:val="28"/>
        </w:rPr>
      </w:pPr>
      <w:r w:rsidDel="00000000" w:rsidR="00000000" w:rsidRPr="00000000">
        <w:rPr>
          <w:color w:val="1f1647"/>
          <w:sz w:val="28"/>
          <w:szCs w:val="28"/>
          <w:rtl w:val="0"/>
        </w:rPr>
        <w:t xml:space="preserve">Cigna Agent Resource Line (CARL)</w:t>
      </w:r>
    </w:p>
    <w:p w:rsidR="00000000" w:rsidDel="00000000" w:rsidP="00000000" w:rsidRDefault="00000000" w:rsidRPr="00000000" w14:paraId="0000001E">
      <w:pPr>
        <w:spacing w:after="0" w:before="0" w:line="240" w:lineRule="auto"/>
        <w:rPr>
          <w:color w:val="1f1647"/>
          <w:sz w:val="28"/>
          <w:szCs w:val="28"/>
        </w:rPr>
      </w:pPr>
      <w:r w:rsidDel="00000000" w:rsidR="00000000" w:rsidRPr="00000000">
        <w:rPr>
          <w:color w:val="1f1647"/>
          <w:sz w:val="28"/>
          <w:szCs w:val="28"/>
          <w:rtl w:val="0"/>
        </w:rPr>
        <w:t xml:space="preserve">866.442.7516</w:t>
      </w:r>
    </w:p>
    <w:p w:rsidR="00000000" w:rsidDel="00000000" w:rsidP="00000000" w:rsidRDefault="00000000" w:rsidRPr="00000000" w14:paraId="0000001F">
      <w:pPr>
        <w:spacing w:after="0" w:before="0" w:line="240" w:lineRule="auto"/>
        <w:rPr>
          <w:color w:val="9e28b5"/>
          <w:sz w:val="28"/>
          <w:szCs w:val="28"/>
          <w:u w:val="single"/>
        </w:rPr>
      </w:pPr>
      <w:r w:rsidDel="00000000" w:rsidR="00000000" w:rsidRPr="00000000">
        <w:rPr>
          <w:color w:val="9e28b5"/>
          <w:sz w:val="28"/>
          <w:szCs w:val="28"/>
          <w:u w:val="single"/>
          <w:rtl w:val="0"/>
        </w:rPr>
        <w:t xml:space="preserve">CARL@cignahealthcare.com</w:t>
      </w:r>
    </w:p>
    <w:p w:rsidR="00000000" w:rsidDel="00000000" w:rsidP="00000000" w:rsidRDefault="00000000" w:rsidRPr="00000000" w14:paraId="00000020">
      <w:pPr>
        <w:spacing w:after="0" w:before="0" w:line="240" w:lineRule="auto"/>
        <w:rPr>
          <w:color w:val="9e28b5"/>
          <w:sz w:val="28"/>
          <w:szCs w:val="28"/>
          <w:u w:val="single"/>
        </w:rPr>
      </w:pPr>
      <w:r w:rsidDel="00000000" w:rsidR="00000000" w:rsidRPr="00000000">
        <w:rPr>
          <w:color w:val="1f1647"/>
          <w:sz w:val="28"/>
          <w:szCs w:val="28"/>
          <w:rtl w:val="0"/>
        </w:rPr>
        <w:t xml:space="preserve">Click-to-chat with a representative:</w:t>
      </w:r>
      <w:hyperlink r:id="rId10">
        <w:r w:rsidDel="00000000" w:rsidR="00000000" w:rsidRPr="00000000">
          <w:rPr>
            <w:color w:val="1f1647"/>
            <w:sz w:val="28"/>
            <w:szCs w:val="28"/>
            <w:rtl w:val="0"/>
          </w:rPr>
          <w:t xml:space="preserve"> </w:t>
        </w:r>
      </w:hyperlink>
      <w:hyperlink r:id="rId11">
        <w:r w:rsidDel="00000000" w:rsidR="00000000" w:rsidRPr="00000000">
          <w:rPr>
            <w:color w:val="9e28b5"/>
            <w:sz w:val="28"/>
            <w:szCs w:val="28"/>
            <w:u w:val="single"/>
            <w:rtl w:val="0"/>
          </w:rPr>
          <w:t xml:space="preserve">Log in to Salesforce</w:t>
        </w:r>
      </w:hyperlink>
      <w:r w:rsidDel="00000000" w:rsidR="00000000" w:rsidRPr="00000000">
        <w:rPr>
          <w:rtl w:val="0"/>
        </w:rPr>
      </w:r>
    </w:p>
    <w:p w:rsidR="00000000" w:rsidDel="00000000" w:rsidP="00000000" w:rsidRDefault="00000000" w:rsidRPr="00000000" w14:paraId="00000021">
      <w:pPr>
        <w:spacing w:after="0" w:before="0" w:line="240" w:lineRule="auto"/>
        <w:rPr>
          <w:color w:val="1f1647"/>
          <w:sz w:val="28"/>
          <w:szCs w:val="28"/>
        </w:rPr>
      </w:pPr>
      <w:r w:rsidDel="00000000" w:rsidR="00000000" w:rsidRPr="00000000">
        <w:rPr>
          <w:color w:val="1f1647"/>
          <w:sz w:val="28"/>
          <w:szCs w:val="28"/>
          <w:rtl w:val="0"/>
        </w:rPr>
        <w:t xml:space="preserve">7 a.m. to 6 p.m. CT, Monday through Friday</w:t>
      </w:r>
    </w:p>
    <w:p w:rsidR="00000000" w:rsidDel="00000000" w:rsidP="00000000" w:rsidRDefault="00000000" w:rsidRPr="00000000" w14:paraId="00000022">
      <w:pPr>
        <w:spacing w:after="0" w:before="0" w:line="240" w:lineRule="auto"/>
        <w:rPr>
          <w:i w:val="1"/>
          <w:color w:val="1f1647"/>
          <w:sz w:val="28"/>
          <w:szCs w:val="28"/>
        </w:rPr>
      </w:pPr>
      <w:r w:rsidDel="00000000" w:rsidR="00000000" w:rsidRPr="00000000">
        <w:rPr>
          <w:i w:val="1"/>
          <w:color w:val="1f1647"/>
          <w:sz w:val="28"/>
          <w:szCs w:val="28"/>
          <w:rtl w:val="0"/>
        </w:rPr>
        <w:t xml:space="preserve">Spanish queue available</w:t>
      </w:r>
    </w:p>
    <w:p w:rsidR="00000000" w:rsidDel="00000000" w:rsidP="00000000" w:rsidRDefault="00000000" w:rsidRPr="00000000" w14:paraId="00000023">
      <w:pPr>
        <w:spacing w:after="0" w:before="0" w:line="240" w:lineRule="auto"/>
        <w:rPr>
          <w:color w:val="1f1647"/>
          <w:sz w:val="28"/>
          <w:szCs w:val="28"/>
        </w:rPr>
      </w:pPr>
      <w:r w:rsidDel="00000000" w:rsidR="00000000" w:rsidRPr="00000000">
        <w:rPr>
          <w:color w:val="1f1647"/>
          <w:sz w:val="28"/>
          <w:szCs w:val="28"/>
          <w:rtl w:val="0"/>
        </w:rPr>
        <w:t xml:space="preserve"> </w:t>
      </w:r>
    </w:p>
    <w:p w:rsidR="00000000" w:rsidDel="00000000" w:rsidP="00000000" w:rsidRDefault="00000000" w:rsidRPr="00000000" w14:paraId="00000024">
      <w:pPr>
        <w:spacing w:after="0" w:before="0" w:line="240" w:lineRule="auto"/>
        <w:rPr>
          <w:b w:val="1"/>
          <w:color w:val="1f1647"/>
          <w:sz w:val="28"/>
          <w:szCs w:val="28"/>
        </w:rPr>
      </w:pPr>
      <w:r w:rsidDel="00000000" w:rsidR="00000000" w:rsidRPr="00000000">
        <w:rPr>
          <w:b w:val="1"/>
          <w:color w:val="1f1647"/>
          <w:sz w:val="28"/>
          <w:szCs w:val="28"/>
          <w:rtl w:val="0"/>
        </w:rPr>
        <w:t xml:space="preserve">CSB</w:t>
      </w:r>
    </w:p>
    <w:p w:rsidR="00000000" w:rsidDel="00000000" w:rsidP="00000000" w:rsidRDefault="00000000" w:rsidRPr="00000000" w14:paraId="00000025">
      <w:pPr>
        <w:spacing w:after="0" w:before="0" w:line="240" w:lineRule="auto"/>
        <w:rPr>
          <w:color w:val="1f1647"/>
          <w:sz w:val="28"/>
          <w:szCs w:val="28"/>
        </w:rPr>
      </w:pPr>
      <w:r w:rsidDel="00000000" w:rsidR="00000000" w:rsidRPr="00000000">
        <w:rPr>
          <w:color w:val="1f1647"/>
          <w:sz w:val="28"/>
          <w:szCs w:val="28"/>
          <w:rtl w:val="0"/>
        </w:rPr>
        <w:t xml:space="preserve">The Agent Resource Center (ARC)</w:t>
      </w:r>
    </w:p>
    <w:p w:rsidR="00000000" w:rsidDel="00000000" w:rsidP="00000000" w:rsidRDefault="00000000" w:rsidRPr="00000000" w14:paraId="00000026">
      <w:pPr>
        <w:spacing w:after="0" w:before="0" w:line="240" w:lineRule="auto"/>
        <w:rPr>
          <w:color w:val="1f1647"/>
          <w:sz w:val="28"/>
          <w:szCs w:val="28"/>
        </w:rPr>
      </w:pPr>
      <w:r w:rsidDel="00000000" w:rsidR="00000000" w:rsidRPr="00000000">
        <w:rPr>
          <w:color w:val="1f1647"/>
          <w:sz w:val="28"/>
          <w:szCs w:val="28"/>
          <w:rtl w:val="0"/>
        </w:rPr>
        <w:t xml:space="preserve">877.454.0923</w:t>
      </w:r>
    </w:p>
    <w:p w:rsidR="00000000" w:rsidDel="00000000" w:rsidP="00000000" w:rsidRDefault="00000000" w:rsidRPr="00000000" w14:paraId="00000027">
      <w:pPr>
        <w:spacing w:after="0" w:before="0" w:line="240" w:lineRule="auto"/>
        <w:rPr>
          <w:color w:val="1f1647"/>
          <w:sz w:val="28"/>
          <w:szCs w:val="28"/>
        </w:rPr>
      </w:pPr>
      <w:r w:rsidDel="00000000" w:rsidR="00000000" w:rsidRPr="00000000">
        <w:rPr>
          <w:color w:val="1f1647"/>
          <w:sz w:val="28"/>
          <w:szCs w:val="28"/>
          <w:rtl w:val="0"/>
        </w:rPr>
        <w:t xml:space="preserve">8 a.m. to 5:30 p.m. CT, Monday through Friday</w:t>
      </w:r>
    </w:p>
    <w:p w:rsidR="00000000" w:rsidDel="00000000" w:rsidP="00000000" w:rsidRDefault="00000000" w:rsidRPr="00000000" w14:paraId="00000028">
      <w:pPr>
        <w:widowControl w:val="1"/>
        <w:spacing w:after="0" w:before="0" w:line="240" w:lineRule="auto"/>
        <w:rPr>
          <w:b w:val="1"/>
          <w:color w:val="333333"/>
          <w:sz w:val="28"/>
          <w:szCs w:val="28"/>
        </w:rPr>
      </w:pPr>
      <w:r w:rsidDel="00000000" w:rsidR="00000000" w:rsidRPr="00000000">
        <w:rPr>
          <w:i w:val="1"/>
          <w:color w:val="1f1647"/>
          <w:sz w:val="28"/>
          <w:szCs w:val="28"/>
          <w:rtl w:val="0"/>
        </w:rPr>
        <w:t xml:space="preserve">Spanish queue available</w:t>
      </w: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Fonts w:ascii="Verdana" w:cs="Verdana" w:eastAsia="Verdana" w:hAnsi="Verdana"/>
        <w:i w:val="1"/>
        <w:sz w:val="14"/>
        <w:szCs w:val="14"/>
        <w:rtl w:val="0"/>
      </w:rPr>
      <w:t xml:space="preserve">Confidential, unpublished property of Cigna Healthcare. Do not duplicate or distribute. Use and distribution limited solely to authorized personnel. © 2025 Cigna Healthcare.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rldefense.com/v3/__https:/yqdeynuab.cc.rs6.net/tn.jsp?f=001XLC3ymyy1tWUgIDm9h-AT-97d277uHNq3Sg-Dyc52leSzPghYpmboaKCbYufH_IPyyGoo8tp1buMAotj5UgeVZS6FRrHhhf7lqFHa-I3TmcrSMBTzhLmYQIGWX-MEXGkGhmgXNjh-q4Nax4Sn6nDoKzQYWxySc-hQ-OhLZYvd8pPR5J_ql02dA==&amp;c=ciWQdPZ7bvlbPoHNRrRkPCbbSJqq4Ct-Dr_yIeWr-EVvmpsd7tF7Sg==&amp;ch=jjQmw7QeD5bcK2zuBLHDjIHTFdNFaiM3PYxWxCxiFdy9obawFcU3bw==__;!!BgIKVS048w!sEGoGmfGoDFsZSv1Sb-XtYDOwiAcP0YOUv0UnyAN8VGk4nbOtYfvTeMAnp-smjZRWUx3oAfrhYV3dz13NtqSUW2HePES3w$" TargetMode="External"/><Relationship Id="rId10" Type="http://schemas.openxmlformats.org/officeDocument/2006/relationships/hyperlink" Target="https://urldefense.com/v3/__https:/yqdeynuab.cc.rs6.net/tn.jsp?f=001XLC3ymyy1tWUgIDm9h-AT-97d277uHNq3Sg-Dyc52leSzPghYpmboaKCbYufH_IPyyGoo8tp1buMAotj5UgeVZS6FRrHhhf7lqFHa-I3TmcrSMBTzhLmYQIGWX-MEXGkGhmgXNjh-q4Nax4Sn6nDoKzQYWxySc-hQ-OhLZYvd8pPR5J_ql02dA==&amp;c=ciWQdPZ7bvlbPoHNRrRkPCbbSJqq4Ct-Dr_yIeWr-EVvmpsd7tF7Sg==&amp;ch=jjQmw7QeD5bcK2zuBLHDjIHTFdNFaiM3PYxWxCxiFdy9obawFcU3bw==__;!!BgIKVS048w!sEGoGmfGoDFsZSv1Sb-XtYDOwiAcP0YOUv0UnyAN8VGk4nbOtYfvTeMAnp-smjZRWUx3oAfrhYV3dz13NtqSUW2HePES3w$"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s:/yqdeynuab.cc.rs6.net/tn.jsp?f=001XLC3ymyy1tWUgIDm9h-AT-97d277uHNq3Sg-Dyc52leSzPghYpmboblXj-nzxF4-iYfr5XZsWTJTQBB9-nZD11VEu45Gxr54Z43ssCzffQDT6EJ8e5txKDS0MvKtOHWa-2nwRBMEXv6cHSpSKDIu1bKaOhglV6hlgMJT5fxiXiyMfk-7B4cBVuDBYStZVEqZvyLyAbN-PSH8FjytDg7vlDztTjqo0KXGEuamnWKRe-iobuafijHq74Kqf8DoGObmkGv5A1xEfoF5T62_9As0mQUchg-q_P15VbcXS9fr1TM=&amp;c=ciWQdPZ7bvlbPoHNRrRkPCbbSJqq4Ct-Dr_yIeWr-EVvmpsd7tF7Sg==&amp;ch=jjQmw7QeD5bcK2zuBLHDjIHTFdNFaiM3PYxWxCxiFdy9obawFcU3bw==__;!!BgIKVS048w!sEGoGmfGoDFsZSv1Sb-XtYDOwiAcP0YOUv0UnyAN8VGk4nbOtYfvTeMAnp-smjZRWUx3oAfrhYV3dz13NtqSUW1JjDDmDg$" TargetMode="External"/><Relationship Id="rId8" Type="http://schemas.openxmlformats.org/officeDocument/2006/relationships/hyperlink" Target="https://urldefense.com/v3/__https:/yqdeynuab.cc.rs6.net/tn.jsp?f=001XLC3ymyy1tWUgIDm9h-AT-97d277uHNq3Sg-Dyc52leSzPghYpmboblXj-nzxF4-iYfr5XZsWTJTQBB9-nZD11VEu45Gxr54Z43ssCzffQDT6EJ8e5txKDS0MvKtOHWa-2nwRBMEXv6cHSpSKDIu1bKaOhglV6hlgMJT5fxiXiyMfk-7B4cBVuDBYStZVEqZvyLyAbN-PSH8FjytDg7vlDztTjqo0KXGEuamnWKRe-iobuafijHq74Kqf8DoGObmkGv5A1xEfoF5T62_9As0mQUchg-q_P15VbcXS9fr1TM=&amp;c=ciWQdPZ7bvlbPoHNRrRkPCbbSJqq4Ct-Dr_yIeWr-EVvmpsd7tF7Sg==&amp;ch=jjQmw7QeD5bcK2zuBLHDjIHTFdNFaiM3PYxWxCxiFdy9obawFcU3bw==__;!!BgIKVS048w!sEGoGmfGoDFsZSv1Sb-XtYDOwiAcP0YOUv0UnyAN8VGk4nbOtYfvTeMAnp-smjZRWUx3oAfrhYV3dz13NtqSUW1JjDDmD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