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b w:val="1"/>
        </w:rPr>
      </w:pPr>
      <w:r w:rsidDel="00000000" w:rsidR="00000000" w:rsidRPr="00000000">
        <w:rPr>
          <w:rtl w:val="0"/>
        </w:rPr>
      </w:r>
    </w:p>
    <w:p w:rsidR="00000000" w:rsidDel="00000000" w:rsidP="00000000" w:rsidRDefault="00000000" w:rsidRPr="00000000" w14:paraId="00000002">
      <w:pPr>
        <w:spacing w:after="0" w:before="0" w:line="240" w:lineRule="auto"/>
        <w:jc w:val="left"/>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179691</wp:posOffset>
            </wp:positionV>
            <wp:extent cx="1701800" cy="1701800"/>
            <wp:effectExtent b="0" l="0" r="0" t="0"/>
            <wp:wrapSquare wrapText="bothSides" distB="114300" distT="114300" distL="114300" distR="114300"/>
            <wp:docPr descr="Enrollment Guide" id="2" name="image1.png"/>
            <a:graphic>
              <a:graphicData uri="http://schemas.openxmlformats.org/drawingml/2006/picture">
                <pic:pic>
                  <pic:nvPicPr>
                    <pic:cNvPr descr="Enrollment Guide" id="0" name="image1.png"/>
                    <pic:cNvPicPr preferRelativeResize="0"/>
                  </pic:nvPicPr>
                  <pic:blipFill>
                    <a:blip r:embed="rId6"/>
                    <a:srcRect b="0" l="0" r="0" t="0"/>
                    <a:stretch>
                      <a:fillRect/>
                    </a:stretch>
                  </pic:blipFill>
                  <pic:spPr>
                    <a:xfrm>
                      <a:off x="0" y="0"/>
                      <a:ext cx="1701800" cy="1701800"/>
                    </a:xfrm>
                    <a:prstGeom prst="rect"/>
                    <a:ln/>
                  </pic:spPr>
                </pic:pic>
              </a:graphicData>
            </a:graphic>
          </wp:anchor>
        </w:drawing>
      </w:r>
    </w:p>
    <w:p w:rsidR="00000000" w:rsidDel="00000000" w:rsidP="00000000" w:rsidRDefault="00000000" w:rsidRPr="00000000" w14:paraId="00000003">
      <w:pPr>
        <w:spacing w:after="0" w:before="0" w:line="240" w:lineRule="auto"/>
        <w:rPr>
          <w:b w:val="1"/>
        </w:rPr>
      </w:pPr>
      <w:r w:rsidDel="00000000" w:rsidR="00000000" w:rsidRPr="00000000">
        <w:rPr>
          <w:b w:val="1"/>
          <w:rtl w:val="0"/>
        </w:rPr>
        <w:t xml:space="preserve">2026 Gold Kidney Enrollment Material Pre-Orders</w:t>
      </w:r>
    </w:p>
    <w:p w:rsidR="00000000" w:rsidDel="00000000" w:rsidP="00000000" w:rsidRDefault="00000000" w:rsidRPr="00000000" w14:paraId="00000004">
      <w:pPr>
        <w:spacing w:after="0" w:before="0" w:line="240" w:lineRule="auto"/>
        <w:jc w:val="center"/>
        <w:rPr>
          <w:b w:val="1"/>
        </w:rPr>
      </w:pPr>
      <w:r w:rsidDel="00000000" w:rsidR="00000000" w:rsidRPr="00000000">
        <w:rPr>
          <w:rtl w:val="0"/>
        </w:rPr>
      </w:r>
    </w:p>
    <w:p w:rsidR="00000000" w:rsidDel="00000000" w:rsidP="00000000" w:rsidRDefault="00000000" w:rsidRPr="00000000" w14:paraId="00000005">
      <w:pPr>
        <w:spacing w:after="0" w:before="0" w:line="240" w:lineRule="auto"/>
        <w:jc w:val="left"/>
        <w:rPr>
          <w:b w:val="1"/>
        </w:rPr>
      </w:pPr>
      <w:r w:rsidDel="00000000" w:rsidR="00000000" w:rsidRPr="00000000">
        <w:rPr>
          <w:rtl w:val="0"/>
        </w:rPr>
      </w:r>
    </w:p>
    <w:p w:rsidR="00000000" w:rsidDel="00000000" w:rsidP="00000000" w:rsidRDefault="00000000" w:rsidRPr="00000000" w14:paraId="00000006">
      <w:pPr>
        <w:spacing w:after="0" w:before="0" w:line="240" w:lineRule="auto"/>
        <w:rPr>
          <w:b w:val="1"/>
          <w:color w:val="cc0000"/>
        </w:rPr>
      </w:pPr>
      <w:r w:rsidDel="00000000" w:rsidR="00000000" w:rsidRPr="00000000">
        <w:rPr>
          <w:b w:val="1"/>
          <w:color w:val="cc0000"/>
          <w:rtl w:val="0"/>
        </w:rPr>
        <w:t xml:space="preserve">Please note that ENROLLMENT MATERIAL ORDERS ARE CURRENTLY CLOSED AND WILL REOPEN 10/1/2025.</w:t>
      </w:r>
      <w:r w:rsidDel="00000000" w:rsidR="00000000" w:rsidRPr="00000000">
        <w:rPr>
          <w:rtl w:val="0"/>
        </w:rPr>
      </w:r>
    </w:p>
    <w:p w:rsidR="00000000" w:rsidDel="00000000" w:rsidP="00000000" w:rsidRDefault="00000000" w:rsidRPr="00000000" w14:paraId="00000007">
      <w:pPr>
        <w:spacing w:after="0" w:before="0" w:line="240" w:lineRule="auto"/>
        <w:rPr/>
      </w:pPr>
      <w:r w:rsidDel="00000000" w:rsidR="00000000" w:rsidRPr="00000000">
        <w:rPr>
          <w:rtl w:val="0"/>
        </w:rPr>
      </w:r>
    </w:p>
    <w:p w:rsidR="00000000" w:rsidDel="00000000" w:rsidP="00000000" w:rsidRDefault="00000000" w:rsidRPr="00000000" w14:paraId="00000008">
      <w:pPr>
        <w:spacing w:after="0" w:before="0" w:line="240" w:lineRule="auto"/>
        <w:rPr/>
      </w:pPr>
      <w:r w:rsidDel="00000000" w:rsidR="00000000" w:rsidRPr="00000000">
        <w:rPr>
          <w:rtl w:val="0"/>
        </w:rPr>
        <w:t xml:space="preserve">Our enrollment materials have been updated for the 2026 selling season and are available in both English and Spanish.</w:t>
      </w:r>
    </w:p>
    <w:p w:rsidR="00000000" w:rsidDel="00000000" w:rsidP="00000000" w:rsidRDefault="00000000" w:rsidRPr="00000000" w14:paraId="00000009">
      <w:pPr>
        <w:spacing w:after="0" w:before="0"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Brokers must be 2026 Ready To Sell (Licensed, Contracted, and Certified) to place a pre-order for enrollment materials.</w:t>
      </w:r>
    </w:p>
    <w:p w:rsidR="00000000" w:rsidDel="00000000" w:rsidP="00000000" w:rsidRDefault="00000000" w:rsidRPr="00000000" w14:paraId="0000000B">
      <w:pPr>
        <w:spacing w:after="0" w:before="0" w:line="240" w:lineRule="auto"/>
        <w:rPr/>
      </w:pPr>
      <w:r w:rsidDel="00000000" w:rsidR="00000000" w:rsidRPr="00000000">
        <w:rPr>
          <w:rtl w:val="0"/>
        </w:rPr>
      </w:r>
    </w:p>
    <w:p w:rsidR="00000000" w:rsidDel="00000000" w:rsidP="00000000" w:rsidRDefault="00000000" w:rsidRPr="00000000" w14:paraId="0000000C">
      <w:pPr>
        <w:spacing w:after="0" w:before="0" w:line="240" w:lineRule="auto"/>
        <w:rPr>
          <w:b w:val="1"/>
        </w:rPr>
      </w:pPr>
      <w:r w:rsidDel="00000000" w:rsidR="00000000" w:rsidRPr="00000000">
        <w:rPr>
          <w:b w:val="1"/>
          <w:rtl w:val="0"/>
        </w:rPr>
        <w:t xml:space="preserve">Each pre-order will come with two booklets:</w:t>
      </w:r>
    </w:p>
    <w:p w:rsidR="00000000" w:rsidDel="00000000" w:rsidP="00000000" w:rsidRDefault="00000000" w:rsidRPr="00000000" w14:paraId="0000000D">
      <w:pPr>
        <w:spacing w:after="0" w:before="0" w:line="240" w:lineRule="auto"/>
        <w:rPr>
          <w:b w:val="1"/>
        </w:rPr>
      </w:pPr>
      <w:r w:rsidDel="00000000" w:rsidR="00000000" w:rsidRPr="00000000">
        <w:rPr>
          <w:rtl w:val="0"/>
        </w:rPr>
      </w:r>
    </w:p>
    <w:p w:rsidR="00000000" w:rsidDel="00000000" w:rsidP="00000000" w:rsidRDefault="00000000" w:rsidRPr="00000000" w14:paraId="0000000E">
      <w:pPr>
        <w:spacing w:after="0" w:before="0" w:line="240" w:lineRule="auto"/>
        <w:rPr/>
      </w:pPr>
      <w:r w:rsidDel="00000000" w:rsidR="00000000" w:rsidRPr="00000000">
        <w:rPr>
          <w:b w:val="1"/>
          <w:rtl w:val="0"/>
        </w:rPr>
        <w:t xml:space="preserve">1) Enrollment Guide, </w:t>
      </w:r>
      <w:r w:rsidDel="00000000" w:rsidR="00000000" w:rsidRPr="00000000">
        <w:rPr>
          <w:rtl w:val="0"/>
        </w:rPr>
        <w:t xml:space="preserve">with great plan information, a plan comparison grid, scope of appointment form, and chronic condition verification form</w:t>
      </w:r>
    </w:p>
    <w:p w:rsidR="00000000" w:rsidDel="00000000" w:rsidP="00000000" w:rsidRDefault="00000000" w:rsidRPr="00000000" w14:paraId="0000000F">
      <w:pPr>
        <w:spacing w:after="0" w:before="0" w:line="240" w:lineRule="auto"/>
        <w:rPr/>
      </w:pPr>
      <w:r w:rsidDel="00000000" w:rsidR="00000000" w:rsidRPr="00000000">
        <w:rPr>
          <w:rtl w:val="0"/>
        </w:rPr>
      </w:r>
    </w:p>
    <w:p w:rsidR="00000000" w:rsidDel="00000000" w:rsidP="00000000" w:rsidRDefault="00000000" w:rsidRPr="00000000" w14:paraId="00000010">
      <w:pPr>
        <w:spacing w:after="0" w:before="0" w:line="240" w:lineRule="auto"/>
        <w:rPr/>
      </w:pPr>
      <w:r w:rsidDel="00000000" w:rsidR="00000000" w:rsidRPr="00000000">
        <w:rPr>
          <w:b w:val="1"/>
          <w:rtl w:val="0"/>
        </w:rPr>
        <w:t xml:space="preserve">2) Enrollment Booklet</w:t>
      </w:r>
      <w:r w:rsidDel="00000000" w:rsidR="00000000" w:rsidRPr="00000000">
        <w:rPr>
          <w:rtl w:val="0"/>
        </w:rPr>
        <w:t xml:space="preserve">, which includes the plan's Summary of Benefits document, pre-enrollment checklist, and enrollment form</w:t>
      </w:r>
    </w:p>
    <w:p w:rsidR="00000000" w:rsidDel="00000000" w:rsidP="00000000" w:rsidRDefault="00000000" w:rsidRPr="00000000" w14:paraId="00000011">
      <w:pPr>
        <w:spacing w:after="0" w:before="0" w:line="240" w:lineRule="auto"/>
        <w:rPr/>
      </w:pPr>
      <w:r w:rsidDel="00000000" w:rsidR="00000000" w:rsidRPr="00000000">
        <w:rPr>
          <w:rtl w:val="0"/>
        </w:rPr>
      </w:r>
    </w:p>
    <w:p w:rsidR="00000000" w:rsidDel="00000000" w:rsidP="00000000" w:rsidRDefault="00000000" w:rsidRPr="00000000" w14:paraId="00000012">
      <w:pPr>
        <w:spacing w:after="0" w:before="0" w:line="240" w:lineRule="auto"/>
        <w:rPr>
          <w:b w:val="1"/>
          <w:highlight w:val="yellow"/>
        </w:rPr>
      </w:pPr>
      <w:r w:rsidDel="00000000" w:rsidR="00000000" w:rsidRPr="00000000">
        <w:rPr>
          <w:b w:val="1"/>
          <w:highlight w:val="yellow"/>
          <w:rtl w:val="0"/>
        </w:rPr>
        <w:t xml:space="preserve">Pre-orders will only be accepted via form submission. Navigate to the pre-order form by clicking below.</w:t>
      </w:r>
    </w:p>
    <w:p w:rsidR="00000000" w:rsidDel="00000000" w:rsidP="00000000" w:rsidRDefault="00000000" w:rsidRPr="00000000" w14:paraId="00000013">
      <w:pPr>
        <w:spacing w:after="0" w:before="0" w:line="240" w:lineRule="auto"/>
        <w:rPr>
          <w:b w:val="1"/>
          <w:highlight w:val="yellow"/>
        </w:rPr>
      </w:pPr>
      <w:r w:rsidDel="00000000" w:rsidR="00000000" w:rsidRPr="00000000">
        <w:rPr>
          <w:rtl w:val="0"/>
        </w:rPr>
      </w:r>
    </w:p>
    <w:p w:rsidR="00000000" w:rsidDel="00000000" w:rsidP="00000000" w:rsidRDefault="00000000" w:rsidRPr="00000000" w14:paraId="00000014">
      <w:pPr>
        <w:spacing w:after="0" w:before="0" w:line="240" w:lineRule="auto"/>
        <w:rPr>
          <w:b w:val="1"/>
          <w:color w:val="114f6d"/>
          <w:highlight w:val="yellow"/>
          <w:u w:val="single"/>
        </w:rPr>
      </w:pPr>
      <w:hyperlink r:id="rId7">
        <w:r w:rsidDel="00000000" w:rsidR="00000000" w:rsidRPr="00000000">
          <w:rPr>
            <w:b w:val="1"/>
            <w:color w:val="114f6d"/>
            <w:u w:val="single"/>
            <w:rtl w:val="0"/>
          </w:rPr>
          <w:t xml:space="preserve">GKHP 2026 Enrollment Material Pre-Order Form</w:t>
        </w:r>
      </w:hyperlink>
      <w:r w:rsidDel="00000000" w:rsidR="00000000" w:rsidRPr="00000000">
        <w:rPr>
          <w:rtl w:val="0"/>
        </w:rPr>
      </w:r>
    </w:p>
    <w:p w:rsidR="00000000" w:rsidDel="00000000" w:rsidP="00000000" w:rsidRDefault="00000000" w:rsidRPr="00000000" w14:paraId="00000015">
      <w:pPr>
        <w:spacing w:after="0" w:before="0" w:line="240" w:lineRule="auto"/>
        <w:rPr/>
      </w:pPr>
      <w:r w:rsidDel="00000000" w:rsidR="00000000" w:rsidRPr="00000000">
        <w:rPr>
          <w:rtl w:val="0"/>
        </w:rPr>
      </w:r>
    </w:p>
    <w:p w:rsidR="00000000" w:rsidDel="00000000" w:rsidP="00000000" w:rsidRDefault="00000000" w:rsidRPr="00000000" w14:paraId="00000016">
      <w:pPr>
        <w:spacing w:after="0" w:before="0" w:line="240" w:lineRule="auto"/>
        <w:rPr/>
      </w:pPr>
      <w:r w:rsidDel="00000000" w:rsidR="00000000" w:rsidRPr="00000000">
        <w:rPr>
          <w:rtl w:val="0"/>
        </w:rPr>
        <w:t xml:space="preserve">Broker must be 2026 Ready To Sell (Licensed, Contracted, and Certified) to place a pre-order for enrollment materials.</w:t>
      </w:r>
    </w:p>
    <w:p w:rsidR="00000000" w:rsidDel="00000000" w:rsidP="00000000" w:rsidRDefault="00000000" w:rsidRPr="00000000" w14:paraId="00000017">
      <w:pPr>
        <w:spacing w:after="0" w:before="0" w:line="240" w:lineRule="auto"/>
        <w:rPr/>
      </w:pPr>
      <w:r w:rsidDel="00000000" w:rsidR="00000000" w:rsidRPr="00000000">
        <w:rPr>
          <w:rtl w:val="0"/>
        </w:rPr>
      </w:r>
    </w:p>
    <w:p w:rsidR="00000000" w:rsidDel="00000000" w:rsidP="00000000" w:rsidRDefault="00000000" w:rsidRPr="00000000" w14:paraId="00000018">
      <w:pPr>
        <w:spacing w:after="0" w:before="0" w:line="240" w:lineRule="auto"/>
        <w:rPr>
          <w:b w:val="1"/>
          <w:color w:val="23496d"/>
          <w:sz w:val="23"/>
          <w:szCs w:val="23"/>
          <w:highlight w:val="yellow"/>
          <w:u w:val="single"/>
        </w:rPr>
      </w:pPr>
      <w:r w:rsidDel="00000000" w:rsidR="00000000" w:rsidRPr="00000000">
        <w:rPr>
          <w:rtl w:val="0"/>
        </w:rPr>
      </w:r>
    </w:p>
    <w:p w:rsidR="00000000" w:rsidDel="00000000" w:rsidP="00000000" w:rsidRDefault="00000000" w:rsidRPr="00000000" w14:paraId="00000019">
      <w:pPr>
        <w:spacing w:after="0" w:before="0" w:line="240" w:lineRule="auto"/>
        <w:rPr/>
      </w:pPr>
      <w:r w:rsidDel="00000000" w:rsidR="00000000" w:rsidRPr="00000000">
        <w:rPr>
          <w:rtl w:val="0"/>
        </w:rPr>
        <w:t xml:space="preserve">Do you have questions? Reach out to </w:t>
      </w:r>
      <w:r w:rsidDel="00000000" w:rsidR="00000000" w:rsidRPr="00000000">
        <w:rPr>
          <w:b w:val="1"/>
          <w:rtl w:val="0"/>
        </w:rPr>
        <w:t xml:space="preserve">Gold B.A.R.  </w:t>
      </w:r>
      <w:r w:rsidDel="00000000" w:rsidR="00000000" w:rsidRPr="00000000">
        <w:rPr>
          <w:rtl w:val="0"/>
        </w:rPr>
        <w:t xml:space="preserve">Our broker support team is here to assist you.</w:t>
      </w:r>
    </w:p>
    <w:p w:rsidR="00000000" w:rsidDel="00000000" w:rsidP="00000000" w:rsidRDefault="00000000" w:rsidRPr="00000000" w14:paraId="0000001A">
      <w:pPr>
        <w:spacing w:after="0" w:before="0" w:line="240" w:lineRule="auto"/>
        <w:ind w:left="0" w:firstLine="0"/>
        <w:rPr>
          <w:sz w:val="24"/>
          <w:szCs w:val="24"/>
        </w:rPr>
      </w:pPr>
      <w:r w:rsidDel="00000000" w:rsidR="00000000" w:rsidRPr="00000000">
        <w:rPr>
          <w:sz w:val="24"/>
          <w:szCs w:val="24"/>
        </w:rPr>
        <w:drawing>
          <wp:inline distB="114300" distT="114300" distL="114300" distR="114300">
            <wp:extent cx="1281113" cy="411103"/>
            <wp:effectExtent b="0" l="0" r="0" t="0"/>
            <wp:docPr descr="GoldBAR Logo_Clear Background" id="1" name="image2.png"/>
            <a:graphic>
              <a:graphicData uri="http://schemas.openxmlformats.org/drawingml/2006/picture">
                <pic:pic>
                  <pic:nvPicPr>
                    <pic:cNvPr descr="GoldBAR Logo_Clear Background" id="0" name="image2.png"/>
                    <pic:cNvPicPr preferRelativeResize="0"/>
                  </pic:nvPicPr>
                  <pic:blipFill>
                    <a:blip r:embed="rId8"/>
                    <a:srcRect b="0" l="0" r="0" t="0"/>
                    <a:stretch>
                      <a:fillRect/>
                    </a:stretch>
                  </pic:blipFill>
                  <pic:spPr>
                    <a:xfrm>
                      <a:off x="0" y="0"/>
                      <a:ext cx="1281113" cy="41110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before="0" w:line="240" w:lineRule="auto"/>
        <w:ind w:left="0" w:firstLine="0"/>
        <w:rPr>
          <w:sz w:val="21"/>
          <w:szCs w:val="21"/>
        </w:rPr>
      </w:pPr>
      <w:r w:rsidDel="00000000" w:rsidR="00000000" w:rsidRPr="00000000">
        <w:rPr>
          <w:b w:val="1"/>
          <w:sz w:val="21"/>
          <w:szCs w:val="21"/>
          <w:rtl w:val="0"/>
        </w:rPr>
        <w:t xml:space="preserve">Call:</w:t>
      </w:r>
      <w:r w:rsidDel="00000000" w:rsidR="00000000" w:rsidRPr="00000000">
        <w:rPr>
          <w:sz w:val="21"/>
          <w:szCs w:val="21"/>
          <w:rtl w:val="0"/>
        </w:rPr>
        <w:t xml:space="preserve"> 844-294-6535</w:t>
      </w:r>
    </w:p>
    <w:p w:rsidR="00000000" w:rsidDel="00000000" w:rsidP="00000000" w:rsidRDefault="00000000" w:rsidRPr="00000000" w14:paraId="0000001C">
      <w:pPr>
        <w:spacing w:after="0" w:before="0" w:line="240" w:lineRule="auto"/>
        <w:ind w:left="0" w:firstLine="0"/>
        <w:rPr>
          <w:color w:val="00a4bd"/>
          <w:sz w:val="23"/>
          <w:szCs w:val="23"/>
        </w:rPr>
      </w:pPr>
      <w:r w:rsidDel="00000000" w:rsidR="00000000" w:rsidRPr="00000000">
        <w:rPr>
          <w:b w:val="1"/>
          <w:sz w:val="21"/>
          <w:szCs w:val="21"/>
          <w:rtl w:val="0"/>
        </w:rPr>
        <w:t xml:space="preserve">Email:</w:t>
      </w:r>
      <w:r w:rsidDel="00000000" w:rsidR="00000000" w:rsidRPr="00000000">
        <w:rPr>
          <w:color w:val="23496d"/>
          <w:sz w:val="23"/>
          <w:szCs w:val="23"/>
          <w:rtl w:val="0"/>
        </w:rPr>
        <w:t xml:space="preserve"> </w:t>
      </w:r>
      <w:hyperlink r:id="rId9">
        <w:r w:rsidDel="00000000" w:rsidR="00000000" w:rsidRPr="00000000">
          <w:rPr>
            <w:color w:val="1155cc"/>
            <w:sz w:val="23"/>
            <w:szCs w:val="23"/>
            <w:u w:val="single"/>
            <w:rtl w:val="0"/>
          </w:rPr>
          <w:t xml:space="preserve">brokers@goldkidney.com</w:t>
        </w:r>
      </w:hyperlink>
      <w:r w:rsidDel="00000000" w:rsidR="00000000" w:rsidRPr="00000000">
        <w:rPr>
          <w:rtl w:val="0"/>
        </w:rPr>
      </w:r>
    </w:p>
    <w:p w:rsidR="00000000" w:rsidDel="00000000" w:rsidP="00000000" w:rsidRDefault="00000000" w:rsidRPr="00000000" w14:paraId="0000001D">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1E">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1F">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20">
      <w:pPr>
        <w:spacing w:after="0" w:before="0" w:line="240" w:lineRule="auto"/>
        <w:ind w:left="0" w:firstLine="0"/>
        <w:rPr>
          <w:b w:val="1"/>
          <w:color w:val="cc0000"/>
          <w:sz w:val="23"/>
          <w:szCs w:val="23"/>
        </w:rPr>
      </w:pPr>
      <w:r w:rsidDel="00000000" w:rsidR="00000000" w:rsidRPr="00000000">
        <w:rPr>
          <w:b w:val="1"/>
          <w:color w:val="cc0000"/>
          <w:sz w:val="23"/>
          <w:szCs w:val="23"/>
          <w:rtl w:val="0"/>
        </w:rPr>
        <w:t xml:space="preserve">See next page for ordering timelines.</w:t>
      </w:r>
    </w:p>
    <w:p w:rsidR="00000000" w:rsidDel="00000000" w:rsidP="00000000" w:rsidRDefault="00000000" w:rsidRPr="00000000" w14:paraId="00000021">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22">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23">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24">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25">
      <w:pPr>
        <w:spacing w:after="0" w:before="0" w:line="240" w:lineRule="auto"/>
        <w:ind w:left="0" w:firstLine="0"/>
        <w:rPr>
          <w:color w:val="00a4bd"/>
          <w:sz w:val="23"/>
          <w:szCs w:val="23"/>
        </w:rPr>
      </w:pPr>
      <w:r w:rsidDel="00000000" w:rsidR="00000000" w:rsidRPr="00000000">
        <w:rPr>
          <w:rtl w:val="0"/>
        </w:rPr>
      </w:r>
    </w:p>
    <w:p w:rsidR="00000000" w:rsidDel="00000000" w:rsidP="00000000" w:rsidRDefault="00000000" w:rsidRPr="00000000" w14:paraId="00000026">
      <w:pPr>
        <w:spacing w:after="0" w:before="0" w:line="240" w:lineRule="auto"/>
        <w:ind w:left="0" w:firstLine="0"/>
        <w:rPr>
          <w:b w:val="1"/>
          <w:color w:val="114f6d"/>
        </w:rPr>
      </w:pPr>
      <w:r w:rsidDel="00000000" w:rsidR="00000000" w:rsidRPr="00000000">
        <w:rPr>
          <w:b w:val="1"/>
          <w:color w:val="114f6d"/>
          <w:rtl w:val="0"/>
        </w:rPr>
        <w:t xml:space="preserve">Ordering Timeline</w:t>
      </w:r>
    </w:p>
    <w:p w:rsidR="00000000" w:rsidDel="00000000" w:rsidP="00000000" w:rsidRDefault="00000000" w:rsidRPr="00000000" w14:paraId="00000027">
      <w:pPr>
        <w:spacing w:after="240" w:before="240" w:line="300" w:lineRule="auto"/>
        <w:rPr>
          <w:b w:val="1"/>
          <w:color w:val="d1a565"/>
        </w:rPr>
      </w:pPr>
      <w:r w:rsidDel="00000000" w:rsidR="00000000" w:rsidRPr="00000000">
        <w:rPr>
          <w:b w:val="1"/>
          <w:color w:val="d1a565"/>
          <w:rtl w:val="0"/>
        </w:rPr>
        <w:t xml:space="preserve">Pre-Order Window</w:t>
      </w:r>
    </w:p>
    <w:p w:rsidR="00000000" w:rsidDel="00000000" w:rsidP="00000000" w:rsidRDefault="00000000" w:rsidRPr="00000000" w14:paraId="00000028">
      <w:pPr>
        <w:spacing w:after="240" w:before="240" w:line="300" w:lineRule="auto"/>
        <w:rPr>
          <w:b w:val="1"/>
          <w:color w:val="114f6d"/>
        </w:rPr>
      </w:pPr>
      <w:r w:rsidDel="00000000" w:rsidR="00000000" w:rsidRPr="00000000">
        <w:rPr>
          <w:b w:val="1"/>
          <w:color w:val="114f6d"/>
          <w:rtl w:val="0"/>
        </w:rPr>
        <w:t xml:space="preserve">Aug. 25 - 29, 2025: Pre-orders for enrollment materials will be accepted via form submission</w:t>
      </w:r>
    </w:p>
    <w:p w:rsidR="00000000" w:rsidDel="00000000" w:rsidP="00000000" w:rsidRDefault="00000000" w:rsidRPr="00000000" w14:paraId="00000029">
      <w:pPr>
        <w:spacing w:after="240" w:before="240" w:line="300" w:lineRule="auto"/>
        <w:rPr>
          <w:b w:val="1"/>
          <w:color w:val="cc0000"/>
        </w:rPr>
      </w:pPr>
      <w:r w:rsidDel="00000000" w:rsidR="00000000" w:rsidRPr="00000000">
        <w:rPr>
          <w:b w:val="1"/>
          <w:color w:val="cc0000"/>
          <w:rtl w:val="0"/>
        </w:rPr>
        <w:t xml:space="preserve">Pre-Orders Closed</w:t>
      </w:r>
    </w:p>
    <w:p w:rsidR="00000000" w:rsidDel="00000000" w:rsidP="00000000" w:rsidRDefault="00000000" w:rsidRPr="00000000" w14:paraId="0000002A">
      <w:pPr>
        <w:spacing w:after="240" w:before="240" w:line="300" w:lineRule="auto"/>
        <w:rPr>
          <w:b w:val="1"/>
          <w:color w:val="114f6d"/>
        </w:rPr>
      </w:pPr>
      <w:r w:rsidDel="00000000" w:rsidR="00000000" w:rsidRPr="00000000">
        <w:rPr>
          <w:b w:val="1"/>
          <w:color w:val="114f6d"/>
          <w:rtl w:val="0"/>
        </w:rPr>
        <w:t xml:space="preserve">Aug. 30 - Sept. 30, 2025: Submission form for pre-orders will be closed</w:t>
      </w:r>
    </w:p>
    <w:p w:rsidR="00000000" w:rsidDel="00000000" w:rsidP="00000000" w:rsidRDefault="00000000" w:rsidRPr="00000000" w14:paraId="0000002B">
      <w:pPr>
        <w:spacing w:after="240" w:before="240" w:line="300" w:lineRule="auto"/>
        <w:rPr>
          <w:b w:val="1"/>
          <w:color w:val="d1a565"/>
        </w:rPr>
      </w:pPr>
      <w:r w:rsidDel="00000000" w:rsidR="00000000" w:rsidRPr="00000000">
        <w:rPr>
          <w:b w:val="1"/>
          <w:color w:val="d1a565"/>
          <w:rtl w:val="0"/>
        </w:rPr>
        <w:t xml:space="preserve">NEW Material Storefront Opens</w:t>
      </w:r>
    </w:p>
    <w:p w:rsidR="00000000" w:rsidDel="00000000" w:rsidP="00000000" w:rsidRDefault="00000000" w:rsidRPr="00000000" w14:paraId="0000002C">
      <w:pPr>
        <w:spacing w:after="0" w:before="0" w:line="240" w:lineRule="auto"/>
        <w:ind w:left="0" w:firstLine="0"/>
        <w:rPr>
          <w:b w:val="1"/>
          <w:color w:val="114f6d"/>
        </w:rPr>
      </w:pPr>
      <w:r w:rsidDel="00000000" w:rsidR="00000000" w:rsidRPr="00000000">
        <w:rPr>
          <w:b w:val="1"/>
          <w:color w:val="114f6d"/>
          <w:rtl w:val="0"/>
        </w:rPr>
        <w:t xml:space="preserve">Oct. 1, 2025: Orders for enrollment materials can be placed through our NEW material storefront in Evolve </w:t>
      </w:r>
      <w:r w:rsidDel="00000000" w:rsidR="00000000" w:rsidRPr="00000000">
        <w:rPr>
          <w:b w:val="1"/>
          <w:i w:val="1"/>
          <w:color w:val="114f6d"/>
          <w:rtl w:val="0"/>
        </w:rPr>
        <w:t xml:space="preserve">(coming soon!)</w:t>
      </w: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40" w:lineRule="auto"/>
      <w:rPr>
        <w:i w:val="1"/>
        <w:color w:val="808080"/>
        <w:sz w:val="20"/>
        <w:szCs w:val="20"/>
      </w:rPr>
    </w:pPr>
    <w:r w:rsidDel="00000000" w:rsidR="00000000" w:rsidRPr="00000000">
      <w:rPr>
        <w:i w:val="1"/>
        <w:color w:val="808080"/>
        <w:sz w:val="20"/>
        <w:szCs w:val="20"/>
        <w:rtl w:val="0"/>
      </w:rPr>
      <w:t xml:space="preserve">Gold Kidney is a Medicare Advantage organization with standard Medicare Advantage plans and Special Needs Plans specializing in serving individuals with Chronic conditions that lead to kidney failure (such as diabetes, heart failure, and cardiovascular conditions) and kidney failure or End Stage Renal Disease (ESRD). IMPORTANT: The contents of this page and any attachments are confidential. It is strictly forbidden to share any part of this message with any third party, without a written consent of the sender. If you received this message by mistake, please reply to this message and follow with its deletion, so that we can ensure such a mistake does not occur in the future.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brokers@goldkidney.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rldefense.com/v3/__https:/d5j-8404.na1.hubspotlinks.com/Ctc/DQ*113/d5j-8404/VWj2PQ2MzmCgW7NlYYj24z19GW7Y8zfc5BGqNPN1MKFZ-5kBVzW69t95C6lZ3pxW7Ws8SW3KNNMFW1Bchxz5TB7jTW55Fjnw2cg9lkW3g0xgB7VRYGLW3G5_lG726l8KW1VKtPV1SHKLJW53YCz-6s7h2_W29q80P59w5xkW7S4HHC7z9xZ4W2QL_zz4XSstZVMRVPX1xvHv7W2j3mms30TjQWW5Z44CK2TR9CGW5qwVmY30Bly9W7XRgqt2067M8W7ChSNt6mK96ZW2Xf_Mf1-YCHWW4rP2My35r2wcW6G8NLp3kNtJzN6JXP6TPsK94W4zWSnf11MBHPW3vCcVT7026LBW1bqJll1ZWPvpW6z3zY49hwxFwW5Rf43n2M_xShW6b4d3t7_6pyXW2mLszp4QjZ5pW4QWyS05Mds6RW6ZKGx34MgR3WN7hL_2zH-YJ9W63Cnh07TH7l6N1wGbfNWnDf9W1pwxwg4JgGkNW3mf-y87J1SJkW7D81s95TrPJMW8YX0ML4BKj84dHSTvn04__;Kw!!BgIKVS048w!oewQkYT0oNDgWWM-flmKzhJhZ0ZPBMwLwKclmuzr7u22P_XRfdt2vuKC4YryxATLvtNLuSLwJ2xOoWNMrp4UqPIqDha0$"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