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="276" w:lineRule="auto"/>
        <w:rPr>
          <w:rFonts w:ascii="Calibri" w:cs="Calibri" w:eastAsia="Calibri" w:hAnsi="Calibri"/>
          <w:b w:val="1"/>
          <w:color w:val="78be20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b w:val="1"/>
          <w:color w:val="77bd1f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78be20"/>
          <w:sz w:val="46"/>
          <w:szCs w:val="46"/>
          <w:rtl w:val="0"/>
        </w:rPr>
        <w:t xml:space="preserve">Humana Enrollment Platform (HEP) - Launched TODAY!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814388" cy="8143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78be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We are happy to share that the Humana Enrollment Platform tool is now available via Vantage for our external agents. Agents should begin using HEP for enrollments today.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Attached, are step by step guides with instructions on how to complete enrollments. Although the guides are a little lengthy, the platform itself is very intuitive and easily mastered.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Calibri" w:cs="Calibri" w:eastAsia="Calibri" w:hAnsi="Calibri"/>
          <w:b w:val="1"/>
          <w:color w:val="78be20"/>
          <w:sz w:val="32"/>
          <w:szCs w:val="32"/>
          <w:u w:val="single"/>
          <w:shd w:fill="78be20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78be20"/>
          <w:sz w:val="32"/>
          <w:szCs w:val="32"/>
          <w:u w:val="single"/>
          <w:shd w:fill="78be20" w:val="clear"/>
          <w:rtl w:val="0"/>
        </w:rPr>
        <w:t xml:space="preserve">.  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ffffff"/>
            <w:sz w:val="32"/>
            <w:szCs w:val="32"/>
            <w:u w:val="single"/>
            <w:shd w:fill="78be20" w:val="clear"/>
            <w:rtl w:val="0"/>
          </w:rPr>
          <w:t xml:space="preserve">Access Guides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78be20"/>
          <w:sz w:val="32"/>
          <w:szCs w:val="32"/>
          <w:u w:val="single"/>
          <w:shd w:fill="78be20" w:val="clear"/>
          <w:rtl w:val="0"/>
        </w:rPr>
        <w:t xml:space="preserve">   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</w:rPr>
        <w:drawing>
          <wp:inline distB="114300" distT="114300" distL="114300" distR="114300">
            <wp:extent cx="5943600" cy="2946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Calibri" w:cs="Calibri" w:eastAsia="Calibri" w:hAnsi="Calibri"/>
          <w:b w:val="1"/>
          <w:i w:val="1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363636"/>
          <w:rtl w:val="0"/>
        </w:rPr>
        <w:t xml:space="preserve">Important Reminders: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360" w:firstLine="0"/>
        <w:rPr>
          <w:rFonts w:ascii="Calibri" w:cs="Calibri" w:eastAsia="Calibri" w:hAnsi="Calibri"/>
          <w:i w:val="1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63636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Always capture language preference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360" w:firstLine="0"/>
        <w:rPr>
          <w:rFonts w:ascii="Calibri" w:cs="Calibri" w:eastAsia="Calibri" w:hAnsi="Calibri"/>
          <w:i w:val="1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63636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Capture member email address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360" w:firstLine="0"/>
        <w:rPr>
          <w:rFonts w:ascii="Calibri" w:cs="Calibri" w:eastAsia="Calibri" w:hAnsi="Calibri"/>
          <w:i w:val="1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63636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Detail for your member why checking the box YES for CenterWell Pharmacy Rx Consent is helpful for your member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360" w:firstLine="0"/>
        <w:rPr>
          <w:rFonts w:ascii="Calibri" w:cs="Calibri" w:eastAsia="Calibri" w:hAnsi="Calibri"/>
          <w:b w:val="1"/>
          <w:i w:val="1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63636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Select providers correctly by selecting the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363636"/>
          <w:rtl w:val="0"/>
        </w:rPr>
        <w:t xml:space="preserve">PCP number (DO NOT use NPI)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360" w:firstLine="0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63636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Large Print- should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u w:val="single"/>
          <w:rtl w:val="0"/>
        </w:rPr>
        <w:t xml:space="preserve">only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 be selected when a member </w:t>
      </w:r>
      <w:r w:rsidDel="00000000" w:rsidR="00000000" w:rsidRPr="00000000">
        <w:rPr>
          <w:rFonts w:ascii="Calibri" w:cs="Calibri" w:eastAsia="Calibri" w:hAnsi="Calibri"/>
          <w:i w:val="1"/>
          <w:color w:val="363636"/>
          <w:u w:val="single"/>
          <w:rtl w:val="0"/>
        </w:rPr>
        <w:t xml:space="preserve">truly</w:t>
      </w:r>
      <w:r w:rsidDel="00000000" w:rsidR="00000000" w:rsidRPr="00000000">
        <w:rPr>
          <w:rFonts w:ascii="Calibri" w:cs="Calibri" w:eastAsia="Calibri" w:hAnsi="Calibri"/>
          <w:i w:val="1"/>
          <w:color w:val="363636"/>
          <w:rtl w:val="0"/>
        </w:rPr>
        <w:t xml:space="preserve"> requires it.  If selected, inform the member this option generates an excessive amount of additional paperwork that should be highlighted / considered.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b w:val="1"/>
        <w:color w:val="666666"/>
        <w:sz w:val="17"/>
        <w:szCs w:val="17"/>
        <w:rtl w:val="0"/>
      </w:rPr>
      <w:t xml:space="preserve">Confidential and proprietary information of Humana. For internal/agent use only. Do not distribute or reproduce any portion without the express written permission of Humana.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4GoGDQNRWH-MkdV_zozsZH29OsF7747p?usp=sharing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