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B19C" w14:textId="77777777" w:rsidR="005B648F" w:rsidRDefault="00000000">
      <w:pPr>
        <w:rPr>
          <w:rFonts w:ascii="Calibri" w:eastAsia="Calibri" w:hAnsi="Calibri" w:cs="Calibri"/>
          <w:b/>
          <w:color w:val="77BD1F"/>
          <w:sz w:val="48"/>
          <w:szCs w:val="48"/>
        </w:rPr>
      </w:pPr>
      <w:r>
        <w:rPr>
          <w:rFonts w:ascii="Calibri" w:eastAsia="Calibri" w:hAnsi="Calibri" w:cs="Calibri"/>
          <w:b/>
          <w:noProof/>
          <w:color w:val="77BD1F"/>
          <w:sz w:val="48"/>
          <w:szCs w:val="48"/>
        </w:rPr>
        <w:drawing>
          <wp:inline distT="114300" distB="114300" distL="114300" distR="114300" wp14:anchorId="3A77749E" wp14:editId="13C1AF34">
            <wp:extent cx="1243013" cy="1243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43013" cy="1243013"/>
                    </a:xfrm>
                    <a:prstGeom prst="rect">
                      <a:avLst/>
                    </a:prstGeom>
                    <a:ln/>
                  </pic:spPr>
                </pic:pic>
              </a:graphicData>
            </a:graphic>
          </wp:inline>
        </w:drawing>
      </w:r>
    </w:p>
    <w:p w14:paraId="624A7F91" w14:textId="77777777" w:rsidR="005B648F" w:rsidRDefault="005B648F">
      <w:pPr>
        <w:rPr>
          <w:rFonts w:ascii="Calibri" w:eastAsia="Calibri" w:hAnsi="Calibri" w:cs="Calibri"/>
          <w:b/>
          <w:color w:val="77BD1F"/>
          <w:sz w:val="24"/>
          <w:szCs w:val="24"/>
        </w:rPr>
      </w:pPr>
    </w:p>
    <w:p w14:paraId="5F0CCBF8" w14:textId="77777777" w:rsidR="005B648F" w:rsidRDefault="00000000">
      <w:pPr>
        <w:rPr>
          <w:color w:val="404040"/>
          <w:highlight w:val="white"/>
        </w:rPr>
      </w:pPr>
      <w:r>
        <w:rPr>
          <w:rFonts w:ascii="Calibri" w:eastAsia="Calibri" w:hAnsi="Calibri" w:cs="Calibri"/>
          <w:b/>
          <w:color w:val="78BE20"/>
          <w:sz w:val="48"/>
          <w:szCs w:val="48"/>
        </w:rPr>
        <w:t>2025 July Training Events &amp; Webinars</w:t>
      </w:r>
    </w:p>
    <w:p w14:paraId="08F9D153" w14:textId="77777777" w:rsidR="005B648F" w:rsidRDefault="00000000">
      <w:pPr>
        <w:spacing w:line="240" w:lineRule="auto"/>
        <w:rPr>
          <w:rFonts w:ascii="Calibri" w:eastAsia="Calibri" w:hAnsi="Calibri" w:cs="Calibri"/>
          <w:color w:val="404040"/>
          <w:sz w:val="24"/>
          <w:szCs w:val="24"/>
        </w:rPr>
      </w:pPr>
      <w:r>
        <w:rPr>
          <w:rFonts w:ascii="Calibri" w:eastAsia="Calibri" w:hAnsi="Calibri" w:cs="Calibri"/>
          <w:color w:val="404040"/>
          <w:sz w:val="24"/>
          <w:szCs w:val="24"/>
        </w:rPr>
        <w:t>Below are the timeframes for transitioning from Plan Year 2025 to Plan Year 2026 Humana Certifications, trainings, and webinars.  Hard to believe we are talking about 2026 already, but July 8 is the date to circle on your calendar for release of the PY26 certification course!</w:t>
      </w:r>
    </w:p>
    <w:p w14:paraId="72E003AA" w14:textId="77777777" w:rsidR="005B648F" w:rsidRDefault="00000000">
      <w:pPr>
        <w:spacing w:line="240" w:lineRule="auto"/>
        <w:rPr>
          <w:color w:val="363636"/>
        </w:rPr>
      </w:pPr>
      <w:r>
        <w:rPr>
          <w:rFonts w:ascii="Calibri" w:eastAsia="Calibri" w:hAnsi="Calibri" w:cs="Calibri"/>
          <w:color w:val="363636"/>
          <w:sz w:val="24"/>
          <w:szCs w:val="24"/>
        </w:rPr>
        <w:t xml:space="preserve"> </w:t>
      </w:r>
    </w:p>
    <w:p w14:paraId="16F97889" w14:textId="77777777" w:rsidR="005B648F" w:rsidRDefault="00000000">
      <w:pPr>
        <w:spacing w:line="240" w:lineRule="auto"/>
        <w:rPr>
          <w:rFonts w:ascii="Calibri" w:eastAsia="Calibri" w:hAnsi="Calibri" w:cs="Calibri"/>
          <w:b/>
          <w:color w:val="77BD1F"/>
          <w:sz w:val="32"/>
          <w:szCs w:val="32"/>
          <w:u w:val="single"/>
        </w:rPr>
      </w:pPr>
      <w:r>
        <w:rPr>
          <w:rFonts w:ascii="Calibri" w:eastAsia="Calibri" w:hAnsi="Calibri" w:cs="Calibri"/>
          <w:color w:val="78BE20"/>
          <w:sz w:val="24"/>
          <w:szCs w:val="24"/>
        </w:rPr>
        <w:t xml:space="preserve"> </w:t>
      </w:r>
      <w:r>
        <w:rPr>
          <w:rFonts w:ascii="Calibri" w:eastAsia="Calibri" w:hAnsi="Calibri" w:cs="Calibri"/>
          <w:b/>
          <w:color w:val="78BE20"/>
          <w:sz w:val="32"/>
          <w:szCs w:val="32"/>
          <w:u w:val="single"/>
        </w:rPr>
        <w:t>PY25 Certification</w:t>
      </w:r>
    </w:p>
    <w:p w14:paraId="7B91E945" w14:textId="77777777" w:rsidR="005B648F" w:rsidRDefault="00000000">
      <w:pPr>
        <w:spacing w:before="200" w:after="200" w:line="240" w:lineRule="auto"/>
        <w:rPr>
          <w:rFonts w:ascii="Calibri" w:eastAsia="Calibri" w:hAnsi="Calibri" w:cs="Calibri"/>
          <w:color w:val="434343"/>
          <w:sz w:val="24"/>
          <w:szCs w:val="24"/>
        </w:rPr>
      </w:pPr>
      <w:r>
        <w:rPr>
          <w:rFonts w:ascii="Calibri" w:eastAsia="Calibri" w:hAnsi="Calibri" w:cs="Calibri"/>
          <w:color w:val="434343"/>
          <w:sz w:val="24"/>
          <w:szCs w:val="24"/>
        </w:rPr>
        <w:t xml:space="preserve">We are excited </w:t>
      </w:r>
      <w:proofErr w:type="gramStart"/>
      <w:r>
        <w:rPr>
          <w:rFonts w:ascii="Calibri" w:eastAsia="Calibri" w:hAnsi="Calibri" w:cs="Calibri"/>
          <w:color w:val="434343"/>
          <w:sz w:val="24"/>
          <w:szCs w:val="24"/>
        </w:rPr>
        <w:t>to launch</w:t>
      </w:r>
      <w:proofErr w:type="gramEnd"/>
      <w:r>
        <w:rPr>
          <w:rFonts w:ascii="Calibri" w:eastAsia="Calibri" w:hAnsi="Calibri" w:cs="Calibri"/>
          <w:color w:val="434343"/>
          <w:sz w:val="24"/>
          <w:szCs w:val="24"/>
        </w:rPr>
        <w:t xml:space="preserve"> our</w:t>
      </w:r>
      <w:r>
        <w:rPr>
          <w:rFonts w:ascii="Calibri" w:eastAsia="Calibri" w:hAnsi="Calibri" w:cs="Calibri"/>
          <w:color w:val="434343"/>
          <w:sz w:val="24"/>
          <w:szCs w:val="24"/>
          <w:highlight w:val="yellow"/>
        </w:rPr>
        <w:t xml:space="preserve"> Medicare Certification/Recertification course on Tuesday, 7/8</w:t>
      </w:r>
      <w:r>
        <w:rPr>
          <w:rFonts w:ascii="Calibri" w:eastAsia="Calibri" w:hAnsi="Calibri" w:cs="Calibri"/>
          <w:color w:val="434343"/>
          <w:sz w:val="24"/>
          <w:szCs w:val="24"/>
        </w:rPr>
        <w:t xml:space="preserve">.  The training will be available through our </w:t>
      </w:r>
      <w:proofErr w:type="spellStart"/>
      <w:r>
        <w:rPr>
          <w:rFonts w:ascii="Calibri" w:eastAsia="Calibri" w:hAnsi="Calibri" w:cs="Calibri"/>
          <w:b/>
          <w:color w:val="434343"/>
          <w:sz w:val="24"/>
          <w:szCs w:val="24"/>
        </w:rPr>
        <w:t>MarketPoint</w:t>
      </w:r>
      <w:proofErr w:type="spellEnd"/>
      <w:r>
        <w:rPr>
          <w:rFonts w:ascii="Calibri" w:eastAsia="Calibri" w:hAnsi="Calibri" w:cs="Calibri"/>
          <w:b/>
          <w:color w:val="434343"/>
          <w:sz w:val="24"/>
          <w:szCs w:val="24"/>
        </w:rPr>
        <w:t xml:space="preserve"> University</w:t>
      </w:r>
      <w:r>
        <w:rPr>
          <w:rFonts w:ascii="Calibri" w:eastAsia="Calibri" w:hAnsi="Calibri" w:cs="Calibri"/>
          <w:color w:val="434343"/>
          <w:sz w:val="24"/>
          <w:szCs w:val="24"/>
        </w:rPr>
        <w:t>, which is accessible through our Vantage portal.  As you start your preparations for the upcoming AEP season, we encourage you to explore our training calendar as well. This is an ideal time to enhance your industry knowledge and position yourself for further success.</w:t>
      </w:r>
    </w:p>
    <w:p w14:paraId="27AF038A" w14:textId="77777777" w:rsidR="005B648F" w:rsidRDefault="00000000">
      <w:pPr>
        <w:spacing w:before="240" w:after="240" w:line="240" w:lineRule="auto"/>
        <w:rPr>
          <w:rFonts w:ascii="Calibri" w:eastAsia="Calibri" w:hAnsi="Calibri" w:cs="Calibri"/>
          <w:color w:val="434343"/>
          <w:sz w:val="24"/>
          <w:szCs w:val="24"/>
        </w:rPr>
      </w:pPr>
      <w:r>
        <w:rPr>
          <w:rFonts w:ascii="Calibri" w:eastAsia="Calibri" w:hAnsi="Calibri" w:cs="Calibri"/>
          <w:color w:val="434343"/>
          <w:sz w:val="24"/>
          <w:szCs w:val="24"/>
        </w:rPr>
        <w:t xml:space="preserve">Our ongoing commitment is to equip agents with robust resources, including marketing support, business planning guidance, and escalated service assistance. We continue to provide a range of meetings and webinars addressing topics essential to your success. This month, we invite you to attend several featured training webinars and explore the newly introduced </w:t>
      </w:r>
      <w:proofErr w:type="spellStart"/>
      <w:r>
        <w:rPr>
          <w:rFonts w:ascii="Calibri" w:eastAsia="Calibri" w:hAnsi="Calibri" w:cs="Calibri"/>
          <w:color w:val="434343"/>
          <w:sz w:val="24"/>
          <w:szCs w:val="24"/>
        </w:rPr>
        <w:t>AgentAdvantage</w:t>
      </w:r>
      <w:proofErr w:type="spellEnd"/>
      <w:r>
        <w:rPr>
          <w:rFonts w:ascii="Calibri" w:eastAsia="Calibri" w:hAnsi="Calibri" w:cs="Calibri"/>
          <w:color w:val="434343"/>
          <w:sz w:val="24"/>
          <w:szCs w:val="24"/>
        </w:rPr>
        <w:t xml:space="preserve"> University, where additional resources are available on our Market page.</w:t>
      </w:r>
    </w:p>
    <w:p w14:paraId="00278833" w14:textId="77777777" w:rsidR="005B648F" w:rsidRDefault="00000000">
      <w:pPr>
        <w:spacing w:before="240" w:after="240" w:line="240" w:lineRule="auto"/>
        <w:rPr>
          <w:rFonts w:ascii="Calibri" w:eastAsia="Calibri" w:hAnsi="Calibri" w:cs="Calibri"/>
          <w:color w:val="434343"/>
          <w:sz w:val="24"/>
          <w:szCs w:val="24"/>
        </w:rPr>
      </w:pPr>
      <w:r>
        <w:rPr>
          <w:rFonts w:ascii="Calibri" w:eastAsia="Calibri" w:hAnsi="Calibri" w:cs="Calibri"/>
          <w:color w:val="434343"/>
          <w:sz w:val="24"/>
          <w:szCs w:val="24"/>
        </w:rPr>
        <w:t>Thank you for your continued partnership. We look forward to supporting your growth throughout the year!</w:t>
      </w:r>
    </w:p>
    <w:p w14:paraId="3DE45755" w14:textId="77777777" w:rsidR="006970EC" w:rsidRDefault="006970EC">
      <w:pPr>
        <w:spacing w:before="240" w:after="240" w:line="240" w:lineRule="auto"/>
        <w:rPr>
          <w:rFonts w:ascii="Calibri" w:eastAsia="Calibri" w:hAnsi="Calibri" w:cs="Calibri"/>
          <w:color w:val="434343"/>
          <w:sz w:val="24"/>
          <w:szCs w:val="24"/>
        </w:rPr>
      </w:pPr>
    </w:p>
    <w:tbl>
      <w:tblPr>
        <w:tblW w:w="13033" w:type="dxa"/>
        <w:tblInd w:w="-10" w:type="dxa"/>
        <w:shd w:val="clear" w:color="auto" w:fill="93D63A"/>
        <w:tblCellMar>
          <w:left w:w="0" w:type="dxa"/>
          <w:right w:w="0" w:type="dxa"/>
        </w:tblCellMar>
        <w:tblLook w:val="04A0" w:firstRow="1" w:lastRow="0" w:firstColumn="1" w:lastColumn="0" w:noHBand="0" w:noVBand="1"/>
      </w:tblPr>
      <w:tblGrid>
        <w:gridCol w:w="8280"/>
        <w:gridCol w:w="3397"/>
        <w:gridCol w:w="1356"/>
      </w:tblGrid>
      <w:tr w:rsidR="006970EC" w:rsidRPr="006970EC" w14:paraId="1CCD9D2C" w14:textId="77777777" w:rsidTr="006970EC">
        <w:trPr>
          <w:trHeight w:val="718"/>
        </w:trPr>
        <w:tc>
          <w:tcPr>
            <w:tcW w:w="8280" w:type="dxa"/>
            <w:tcBorders>
              <w:top w:val="single" w:sz="8" w:space="0" w:color="auto"/>
              <w:left w:val="single" w:sz="8" w:space="0" w:color="auto"/>
              <w:bottom w:val="single" w:sz="8" w:space="0" w:color="auto"/>
              <w:right w:val="single" w:sz="8" w:space="0" w:color="auto"/>
            </w:tcBorders>
            <w:shd w:val="clear" w:color="auto" w:fill="93D63A"/>
            <w:tcMar>
              <w:top w:w="0" w:type="dxa"/>
              <w:left w:w="108" w:type="dxa"/>
              <w:bottom w:w="0" w:type="dxa"/>
              <w:right w:w="108" w:type="dxa"/>
            </w:tcMar>
            <w:vAlign w:val="center"/>
            <w:hideMark/>
          </w:tcPr>
          <w:p w14:paraId="25435274"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lastRenderedPageBreak/>
              <w:t xml:space="preserve">10 Step Sales Process &amp; Avoiding Complaints – </w:t>
            </w:r>
            <w:r w:rsidRPr="006970EC">
              <w:rPr>
                <w:rFonts w:ascii="Calibri" w:eastAsia="Calibri" w:hAnsi="Calibri" w:cs="Calibri"/>
                <w:color w:val="000000" w:themeColor="text1"/>
                <w:sz w:val="20"/>
                <w:szCs w:val="20"/>
                <w:lang w:val="en-US"/>
              </w:rPr>
              <w:t>conduct a compliant sales presentation with a client from start to finish</w:t>
            </w:r>
          </w:p>
        </w:tc>
        <w:tc>
          <w:tcPr>
            <w:tcW w:w="3397" w:type="dxa"/>
            <w:tcBorders>
              <w:top w:val="single" w:sz="8" w:space="0" w:color="auto"/>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22BEE9BC"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7/9@ 2pm Eastern</w:t>
            </w:r>
          </w:p>
        </w:tc>
        <w:tc>
          <w:tcPr>
            <w:tcW w:w="1356" w:type="dxa"/>
            <w:tcBorders>
              <w:top w:val="single" w:sz="8" w:space="0" w:color="auto"/>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1119909D" w14:textId="38284E7A"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51D2A459" wp14:editId="688457C7">
                  <wp:extent cx="714375" cy="276225"/>
                  <wp:effectExtent l="0" t="0" r="9525" b="9525"/>
                  <wp:docPr id="1224038602" name="Picture 1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91172308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r w:rsidR="006970EC" w:rsidRPr="006970EC" w14:paraId="232E9387" w14:textId="77777777" w:rsidTr="006970EC">
        <w:trPr>
          <w:trHeight w:val="718"/>
        </w:trPr>
        <w:tc>
          <w:tcPr>
            <w:tcW w:w="8280" w:type="dxa"/>
            <w:tcBorders>
              <w:top w:val="nil"/>
              <w:left w:val="single" w:sz="8" w:space="0" w:color="auto"/>
              <w:bottom w:val="single" w:sz="8" w:space="0" w:color="auto"/>
              <w:right w:val="single" w:sz="8" w:space="0" w:color="auto"/>
            </w:tcBorders>
            <w:shd w:val="clear" w:color="auto" w:fill="D7F0B6"/>
            <w:tcMar>
              <w:top w:w="0" w:type="dxa"/>
              <w:left w:w="108" w:type="dxa"/>
              <w:bottom w:w="0" w:type="dxa"/>
              <w:right w:w="108" w:type="dxa"/>
            </w:tcMar>
            <w:vAlign w:val="center"/>
            <w:hideMark/>
          </w:tcPr>
          <w:p w14:paraId="17135510"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Individual Dental &amp; Vision – </w:t>
            </w:r>
            <w:r w:rsidRPr="006970EC">
              <w:rPr>
                <w:rFonts w:ascii="Calibri" w:eastAsia="Calibri" w:hAnsi="Calibri" w:cs="Calibri"/>
                <w:color w:val="000000" w:themeColor="text1"/>
                <w:sz w:val="20"/>
                <w:szCs w:val="20"/>
                <w:lang w:val="en-US"/>
              </w:rPr>
              <w:t>understand the dental &amp; vision opportunities there are available from Humana</w:t>
            </w:r>
          </w:p>
        </w:tc>
        <w:tc>
          <w:tcPr>
            <w:tcW w:w="3397"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5BB30381"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7/16@ 12pm Eastern</w:t>
            </w:r>
          </w:p>
        </w:tc>
        <w:tc>
          <w:tcPr>
            <w:tcW w:w="1356"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7D9A4AA5" w14:textId="255C6635"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18F7CDFD" wp14:editId="21070520">
                  <wp:extent cx="714375" cy="276225"/>
                  <wp:effectExtent l="0" t="0" r="9525" b="9525"/>
                  <wp:docPr id="1917847987" name="Picture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8819823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r w:rsidR="006970EC" w:rsidRPr="006970EC" w14:paraId="2F13EC79" w14:textId="77777777" w:rsidTr="006970EC">
        <w:trPr>
          <w:trHeight w:val="718"/>
        </w:trPr>
        <w:tc>
          <w:tcPr>
            <w:tcW w:w="8280" w:type="dxa"/>
            <w:tcBorders>
              <w:top w:val="nil"/>
              <w:left w:val="single" w:sz="8" w:space="0" w:color="auto"/>
              <w:bottom w:val="single" w:sz="8" w:space="0" w:color="auto"/>
              <w:right w:val="single" w:sz="8" w:space="0" w:color="auto"/>
            </w:tcBorders>
            <w:shd w:val="clear" w:color="auto" w:fill="93D63A"/>
            <w:tcMar>
              <w:top w:w="0" w:type="dxa"/>
              <w:left w:w="108" w:type="dxa"/>
              <w:bottom w:w="0" w:type="dxa"/>
              <w:right w:w="108" w:type="dxa"/>
            </w:tcMar>
            <w:vAlign w:val="center"/>
            <w:hideMark/>
          </w:tcPr>
          <w:p w14:paraId="4CDE77FC"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Marketing Strategies – </w:t>
            </w:r>
            <w:r w:rsidRPr="006970EC">
              <w:rPr>
                <w:rFonts w:ascii="Calibri" w:eastAsia="Calibri" w:hAnsi="Calibri" w:cs="Calibri"/>
                <w:color w:val="000000" w:themeColor="text1"/>
                <w:sz w:val="20"/>
                <w:szCs w:val="20"/>
                <w:lang w:val="en-US"/>
              </w:rPr>
              <w:t>exploration into ways to grow your business</w:t>
            </w:r>
          </w:p>
        </w:tc>
        <w:tc>
          <w:tcPr>
            <w:tcW w:w="3397" w:type="dxa"/>
            <w:tcBorders>
              <w:top w:val="nil"/>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0DADE580"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7/16@ 12pm Eastern</w:t>
            </w:r>
          </w:p>
        </w:tc>
        <w:tc>
          <w:tcPr>
            <w:tcW w:w="1356" w:type="dxa"/>
            <w:tcBorders>
              <w:top w:val="nil"/>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634A2901" w14:textId="303611E8"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color w:val="000000" w:themeColor="text1"/>
                <w:sz w:val="20"/>
                <w:szCs w:val="20"/>
                <w:lang w:val="en-US"/>
              </w:rPr>
              <w:drawing>
                <wp:inline distT="0" distB="0" distL="0" distR="0" wp14:anchorId="75A62CB6" wp14:editId="11F64808">
                  <wp:extent cx="723900" cy="285750"/>
                  <wp:effectExtent l="0" t="0" r="0" b="0"/>
                  <wp:docPr id="624227547"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p>
        </w:tc>
      </w:tr>
      <w:tr w:rsidR="006970EC" w:rsidRPr="006970EC" w14:paraId="343BF4F2" w14:textId="77777777" w:rsidTr="006970EC">
        <w:trPr>
          <w:trHeight w:val="718"/>
        </w:trPr>
        <w:tc>
          <w:tcPr>
            <w:tcW w:w="8280" w:type="dxa"/>
            <w:tcBorders>
              <w:top w:val="nil"/>
              <w:left w:val="single" w:sz="8" w:space="0" w:color="auto"/>
              <w:bottom w:val="single" w:sz="8" w:space="0" w:color="auto"/>
              <w:right w:val="single" w:sz="8" w:space="0" w:color="auto"/>
            </w:tcBorders>
            <w:shd w:val="clear" w:color="auto" w:fill="D7F0B6"/>
            <w:tcMar>
              <w:top w:w="0" w:type="dxa"/>
              <w:left w:w="108" w:type="dxa"/>
              <w:bottom w:w="0" w:type="dxa"/>
              <w:right w:w="108" w:type="dxa"/>
            </w:tcMar>
            <w:vAlign w:val="center"/>
            <w:hideMark/>
          </w:tcPr>
          <w:p w14:paraId="2A63A105"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SPANISH New Agent/Vantage Resources– </w:t>
            </w:r>
            <w:r w:rsidRPr="006970EC">
              <w:rPr>
                <w:rFonts w:ascii="Calibri" w:eastAsia="Calibri" w:hAnsi="Calibri" w:cs="Calibri"/>
                <w:color w:val="000000" w:themeColor="text1"/>
                <w:sz w:val="20"/>
                <w:szCs w:val="20"/>
                <w:lang w:val="en-US"/>
              </w:rPr>
              <w:t>learn the basics of Humana including all the resources that Vantage has to offer</w:t>
            </w:r>
          </w:p>
        </w:tc>
        <w:tc>
          <w:tcPr>
            <w:tcW w:w="3397"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4B250619"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7/16 @ 1pm Eastern</w:t>
            </w:r>
          </w:p>
        </w:tc>
        <w:tc>
          <w:tcPr>
            <w:tcW w:w="1356"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6667B948" w14:textId="00D64235"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030E3F1A" wp14:editId="525ACF79">
                  <wp:extent cx="714375" cy="276225"/>
                  <wp:effectExtent l="0" t="0" r="9525" b="9525"/>
                  <wp:docPr id="2097522500"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r w:rsidR="006970EC" w:rsidRPr="006970EC" w14:paraId="093E9C43" w14:textId="77777777" w:rsidTr="006970EC">
        <w:trPr>
          <w:trHeight w:val="718"/>
        </w:trPr>
        <w:tc>
          <w:tcPr>
            <w:tcW w:w="8280" w:type="dxa"/>
            <w:tcBorders>
              <w:top w:val="nil"/>
              <w:left w:val="single" w:sz="8" w:space="0" w:color="auto"/>
              <w:bottom w:val="single" w:sz="8" w:space="0" w:color="auto"/>
              <w:right w:val="single" w:sz="8" w:space="0" w:color="auto"/>
            </w:tcBorders>
            <w:shd w:val="clear" w:color="auto" w:fill="93D63A"/>
            <w:tcMar>
              <w:top w:w="0" w:type="dxa"/>
              <w:left w:w="108" w:type="dxa"/>
              <w:bottom w:w="0" w:type="dxa"/>
              <w:right w:w="108" w:type="dxa"/>
            </w:tcMar>
            <w:vAlign w:val="center"/>
            <w:hideMark/>
          </w:tcPr>
          <w:p w14:paraId="7B30B011"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New Agent/Vantage Resources– </w:t>
            </w:r>
            <w:r w:rsidRPr="006970EC">
              <w:rPr>
                <w:rFonts w:ascii="Calibri" w:eastAsia="Calibri" w:hAnsi="Calibri" w:cs="Calibri"/>
                <w:color w:val="000000" w:themeColor="text1"/>
                <w:sz w:val="20"/>
                <w:szCs w:val="20"/>
                <w:lang w:val="en-US"/>
              </w:rPr>
              <w:t>learn the basics of Humana including all the resources that Vantage has to offer</w:t>
            </w:r>
          </w:p>
        </w:tc>
        <w:tc>
          <w:tcPr>
            <w:tcW w:w="3397" w:type="dxa"/>
            <w:tcBorders>
              <w:top w:val="nil"/>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15DF794F"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7/16 @ 3pm Eastern</w:t>
            </w:r>
          </w:p>
        </w:tc>
        <w:tc>
          <w:tcPr>
            <w:tcW w:w="1356" w:type="dxa"/>
            <w:tcBorders>
              <w:top w:val="nil"/>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393D8C5D" w14:textId="76063B5F"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54977B05" wp14:editId="4A7B44AB">
                  <wp:extent cx="714375" cy="276225"/>
                  <wp:effectExtent l="0" t="0" r="9525" b="9525"/>
                  <wp:docPr id="185196729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1007289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r w:rsidR="006970EC" w:rsidRPr="006970EC" w14:paraId="2893BD33" w14:textId="77777777" w:rsidTr="006970EC">
        <w:trPr>
          <w:trHeight w:val="1244"/>
        </w:trPr>
        <w:tc>
          <w:tcPr>
            <w:tcW w:w="8280" w:type="dxa"/>
            <w:tcBorders>
              <w:top w:val="nil"/>
              <w:left w:val="single" w:sz="8" w:space="0" w:color="auto"/>
              <w:bottom w:val="single" w:sz="8" w:space="0" w:color="auto"/>
              <w:right w:val="single" w:sz="8" w:space="0" w:color="auto"/>
            </w:tcBorders>
            <w:shd w:val="clear" w:color="auto" w:fill="D7F0B6"/>
            <w:tcMar>
              <w:top w:w="0" w:type="dxa"/>
              <w:left w:w="108" w:type="dxa"/>
              <w:bottom w:w="0" w:type="dxa"/>
              <w:right w:w="108" w:type="dxa"/>
            </w:tcMar>
            <w:vAlign w:val="center"/>
            <w:hideMark/>
          </w:tcPr>
          <w:p w14:paraId="41FD6CF6"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Medicare Opportunities in Your P&amp;C Book of Business – </w:t>
            </w:r>
            <w:r w:rsidRPr="006970EC">
              <w:rPr>
                <w:rFonts w:ascii="Calibri" w:eastAsia="Calibri" w:hAnsi="Calibri" w:cs="Calibri"/>
                <w:color w:val="000000" w:themeColor="text1"/>
                <w:sz w:val="20"/>
                <w:szCs w:val="20"/>
                <w:lang w:val="en-US"/>
              </w:rPr>
              <w:t>learn about how you can leverage your existing book of business to generate new sales and referrals while strengthening your retention</w:t>
            </w:r>
          </w:p>
        </w:tc>
        <w:tc>
          <w:tcPr>
            <w:tcW w:w="3397"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324A032B"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Thursday, 7/17 @ 12pm Eastern</w:t>
            </w:r>
          </w:p>
        </w:tc>
        <w:tc>
          <w:tcPr>
            <w:tcW w:w="1356"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5C684E61" w14:textId="07FAC74F"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52575FF6" wp14:editId="11D3DE10">
                  <wp:extent cx="714375" cy="276225"/>
                  <wp:effectExtent l="0" t="0" r="9525" b="9525"/>
                  <wp:docPr id="1525431942"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r w:rsidR="006970EC" w:rsidRPr="006970EC" w14:paraId="2973B966" w14:textId="77777777" w:rsidTr="006970EC">
        <w:trPr>
          <w:trHeight w:val="764"/>
        </w:trPr>
        <w:tc>
          <w:tcPr>
            <w:tcW w:w="8280" w:type="dxa"/>
            <w:tcBorders>
              <w:top w:val="nil"/>
              <w:left w:val="single" w:sz="8" w:space="0" w:color="auto"/>
              <w:bottom w:val="single" w:sz="8" w:space="0" w:color="auto"/>
              <w:right w:val="single" w:sz="8" w:space="0" w:color="auto"/>
            </w:tcBorders>
            <w:shd w:val="clear" w:color="auto" w:fill="93D63A"/>
            <w:tcMar>
              <w:top w:w="0" w:type="dxa"/>
              <w:left w:w="108" w:type="dxa"/>
              <w:bottom w:w="0" w:type="dxa"/>
              <w:right w:w="108" w:type="dxa"/>
            </w:tcMar>
            <w:vAlign w:val="center"/>
            <w:hideMark/>
          </w:tcPr>
          <w:p w14:paraId="46CE1ED3"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Retention &amp; Onboarding Strategies – </w:t>
            </w:r>
            <w:r w:rsidRPr="006970EC">
              <w:rPr>
                <w:rFonts w:ascii="Calibri" w:eastAsia="Calibri" w:hAnsi="Calibri" w:cs="Calibri"/>
                <w:color w:val="000000" w:themeColor="text1"/>
                <w:sz w:val="20"/>
                <w:szCs w:val="20"/>
                <w:lang w:val="en-US"/>
              </w:rPr>
              <w:t>Learn best practices for retaining your clients and generating referrals year-round</w:t>
            </w:r>
          </w:p>
        </w:tc>
        <w:tc>
          <w:tcPr>
            <w:tcW w:w="3397" w:type="dxa"/>
            <w:tcBorders>
              <w:top w:val="nil"/>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6C816190"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7/23 @ 12pm Eastern</w:t>
            </w:r>
          </w:p>
        </w:tc>
        <w:tc>
          <w:tcPr>
            <w:tcW w:w="1356" w:type="dxa"/>
            <w:tcBorders>
              <w:top w:val="nil"/>
              <w:left w:val="nil"/>
              <w:bottom w:val="single" w:sz="8" w:space="0" w:color="auto"/>
              <w:right w:val="single" w:sz="8" w:space="0" w:color="auto"/>
            </w:tcBorders>
            <w:shd w:val="clear" w:color="auto" w:fill="93D63A"/>
            <w:tcMar>
              <w:top w:w="0" w:type="dxa"/>
              <w:left w:w="108" w:type="dxa"/>
              <w:bottom w:w="0" w:type="dxa"/>
              <w:right w:w="108" w:type="dxa"/>
            </w:tcMar>
            <w:vAlign w:val="center"/>
            <w:hideMark/>
          </w:tcPr>
          <w:p w14:paraId="3A88B425" w14:textId="626E70E9"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7D09357B" wp14:editId="39829A83">
                  <wp:extent cx="714375" cy="276225"/>
                  <wp:effectExtent l="0" t="0" r="9525" b="9525"/>
                  <wp:docPr id="1439400939"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9607657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r w:rsidR="006970EC" w:rsidRPr="006970EC" w14:paraId="1DA54041" w14:textId="77777777" w:rsidTr="006970EC">
        <w:trPr>
          <w:trHeight w:val="810"/>
        </w:trPr>
        <w:tc>
          <w:tcPr>
            <w:tcW w:w="8280" w:type="dxa"/>
            <w:tcBorders>
              <w:top w:val="nil"/>
              <w:left w:val="single" w:sz="8" w:space="0" w:color="auto"/>
              <w:bottom w:val="single" w:sz="8" w:space="0" w:color="auto"/>
              <w:right w:val="single" w:sz="8" w:space="0" w:color="auto"/>
            </w:tcBorders>
            <w:shd w:val="clear" w:color="auto" w:fill="D7F0B6"/>
            <w:tcMar>
              <w:top w:w="0" w:type="dxa"/>
              <w:left w:w="108" w:type="dxa"/>
              <w:bottom w:w="0" w:type="dxa"/>
              <w:right w:w="108" w:type="dxa"/>
            </w:tcMar>
            <w:vAlign w:val="center"/>
            <w:hideMark/>
          </w:tcPr>
          <w:p w14:paraId="579C3C3E"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 xml:space="preserve">Veterans Engagement – </w:t>
            </w:r>
            <w:r w:rsidRPr="006970EC">
              <w:rPr>
                <w:rFonts w:ascii="Calibri" w:eastAsia="Calibri" w:hAnsi="Calibri" w:cs="Calibri"/>
                <w:color w:val="000000" w:themeColor="text1"/>
                <w:sz w:val="20"/>
                <w:szCs w:val="20"/>
                <w:lang w:val="en-US"/>
              </w:rPr>
              <w:t>ensure you are an expert when speaking with Veterans about their Medicare needs</w:t>
            </w:r>
          </w:p>
        </w:tc>
        <w:tc>
          <w:tcPr>
            <w:tcW w:w="3397"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1FC00D96" w14:textId="77777777"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bCs/>
                <w:color w:val="000000" w:themeColor="text1"/>
                <w:sz w:val="20"/>
                <w:szCs w:val="20"/>
                <w:lang w:val="en-US"/>
              </w:rPr>
              <w:t>Wednesday, 7/30 @ 12pm Eastern</w:t>
            </w:r>
          </w:p>
        </w:tc>
        <w:tc>
          <w:tcPr>
            <w:tcW w:w="1356" w:type="dxa"/>
            <w:tcBorders>
              <w:top w:val="nil"/>
              <w:left w:val="nil"/>
              <w:bottom w:val="single" w:sz="8" w:space="0" w:color="auto"/>
              <w:right w:val="single" w:sz="8" w:space="0" w:color="auto"/>
            </w:tcBorders>
            <w:shd w:val="clear" w:color="auto" w:fill="D7F0B6"/>
            <w:tcMar>
              <w:top w:w="0" w:type="dxa"/>
              <w:left w:w="108" w:type="dxa"/>
              <w:bottom w:w="0" w:type="dxa"/>
              <w:right w:w="108" w:type="dxa"/>
            </w:tcMar>
            <w:vAlign w:val="center"/>
            <w:hideMark/>
          </w:tcPr>
          <w:p w14:paraId="25D5FF06" w14:textId="036CD564" w:rsidR="006970EC" w:rsidRPr="006970EC" w:rsidRDefault="006970EC" w:rsidP="006970EC">
            <w:pPr>
              <w:spacing w:before="120" w:after="120" w:line="240" w:lineRule="auto"/>
              <w:rPr>
                <w:rFonts w:ascii="Calibri" w:eastAsia="Calibri" w:hAnsi="Calibri" w:cs="Calibri"/>
                <w:color w:val="000000" w:themeColor="text1"/>
                <w:sz w:val="20"/>
                <w:szCs w:val="20"/>
                <w:lang w:val="en-US"/>
              </w:rPr>
            </w:pPr>
            <w:r w:rsidRPr="006970EC">
              <w:rPr>
                <w:rFonts w:ascii="Calibri" w:eastAsia="Calibri" w:hAnsi="Calibri" w:cs="Calibri"/>
                <w:b/>
                <w:color w:val="000000" w:themeColor="text1"/>
                <w:sz w:val="20"/>
                <w:szCs w:val="20"/>
                <w:lang w:val="en-US"/>
              </w:rPr>
              <w:drawing>
                <wp:inline distT="0" distB="0" distL="0" distR="0" wp14:anchorId="6555BD12" wp14:editId="496D5BF0">
                  <wp:extent cx="714375" cy="276225"/>
                  <wp:effectExtent l="0" t="0" r="9525" b="9525"/>
                  <wp:docPr id="702401441"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300332748">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p>
        </w:tc>
      </w:tr>
    </w:tbl>
    <w:p w14:paraId="552152AE" w14:textId="77777777" w:rsidR="006970EC" w:rsidRDefault="006970EC">
      <w:pPr>
        <w:spacing w:before="240" w:after="240" w:line="240" w:lineRule="auto"/>
        <w:rPr>
          <w:rFonts w:ascii="Calibri" w:eastAsia="Calibri" w:hAnsi="Calibri" w:cs="Calibri"/>
          <w:color w:val="434343"/>
          <w:sz w:val="24"/>
          <w:szCs w:val="24"/>
        </w:rPr>
      </w:pPr>
    </w:p>
    <w:p w14:paraId="07A0AF73" w14:textId="77777777" w:rsidR="005B648F" w:rsidRDefault="005B648F">
      <w:pPr>
        <w:spacing w:before="240" w:after="240" w:line="240" w:lineRule="auto"/>
        <w:rPr>
          <w:rFonts w:ascii="Calibri" w:eastAsia="Calibri" w:hAnsi="Calibri" w:cs="Calibri"/>
          <w:color w:val="434343"/>
          <w:sz w:val="24"/>
          <w:szCs w:val="24"/>
        </w:rPr>
      </w:pPr>
    </w:p>
    <w:sectPr w:rsidR="005B648F" w:rsidSect="006970EC">
      <w:footerReference w:type="default" r:id="rId23"/>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4E9E" w14:textId="77777777" w:rsidR="008F03FA" w:rsidRDefault="008F03FA">
      <w:pPr>
        <w:spacing w:line="240" w:lineRule="auto"/>
      </w:pPr>
      <w:r>
        <w:separator/>
      </w:r>
    </w:p>
  </w:endnote>
  <w:endnote w:type="continuationSeparator" w:id="0">
    <w:p w14:paraId="3AD2832C" w14:textId="77777777" w:rsidR="008F03FA" w:rsidRDefault="008F0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2AF3" w14:textId="77777777" w:rsidR="005B648F" w:rsidRDefault="00000000">
    <w:r>
      <w:rPr>
        <w:b/>
        <w:color w:val="666666"/>
        <w:sz w:val="17"/>
        <w:szCs w:val="17"/>
      </w:rPr>
      <w:t>Confidential and proprietary information of Humana. For internal/agent use only. Do not distribute or reproduce any portion without the express written permission of Humana.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B7C2" w14:textId="77777777" w:rsidR="008F03FA" w:rsidRDefault="008F03FA">
      <w:pPr>
        <w:spacing w:line="240" w:lineRule="auto"/>
      </w:pPr>
      <w:r>
        <w:separator/>
      </w:r>
    </w:p>
  </w:footnote>
  <w:footnote w:type="continuationSeparator" w:id="0">
    <w:p w14:paraId="38B81A9C" w14:textId="77777777" w:rsidR="008F03FA" w:rsidRDefault="008F03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8F"/>
    <w:rsid w:val="005B648F"/>
    <w:rsid w:val="006970EC"/>
    <w:rsid w:val="008F03FA"/>
    <w:rsid w:val="009C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8B8C"/>
  <w15:docId w15:val="{FA2DB445-BABE-47FE-B364-E45A5A9E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943756">
      <w:bodyDiv w:val="1"/>
      <w:marLeft w:val="0"/>
      <w:marRight w:val="0"/>
      <w:marTop w:val="0"/>
      <w:marBottom w:val="0"/>
      <w:divBdr>
        <w:top w:val="none" w:sz="0" w:space="0" w:color="auto"/>
        <w:left w:val="none" w:sz="0" w:space="0" w:color="auto"/>
        <w:bottom w:val="none" w:sz="0" w:space="0" w:color="auto"/>
        <w:right w:val="none" w:sz="0" w:space="0" w:color="auto"/>
      </w:divBdr>
    </w:div>
    <w:div w:id="193562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rldefense.com/v3/__https:/humana.zoom.us/webinar/register/WN_ABEGa67SRJ-WMkmtxEGUmg*/registration__;Iw!!BgIKVS048w!sLBdtKIfJWyd2bMaAQmzXgMwrtQoUYqsiS56vmsXbctSfXI5KQd_srP4NwgSb6X-O1LxduXHEVXIIntaAoTNHge-$" TargetMode="Externa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urldefense.com/v3/__https:/humana.zoom.us/webinar/register/WN_nkg8kJ6gRLO3sR0ApHscoA*/registration__;Iw!!BgIKVS048w!sLBdtKIfJWyd2bMaAQmzXgMwrtQoUYqsiS56vmsXbctSfXI5KQd_srP4NwgSb6X-O1LxduXHEVXIIntaAkh84Nvc$" TargetMode="External"/><Relationship Id="rId7" Type="http://schemas.openxmlformats.org/officeDocument/2006/relationships/hyperlink" Target="https://urldefense.com/v3/__https:/humana.zoom.us/webinar/register/WN_PkFT9QimSGi_RCyz_JFAww__;!!BgIKVS048w!sLBdtKIfJWyd2bMaAQmzXgMwrtQoUYqsiS56vmsXbctSfXI5KQd_srP4NwgSb6X-O1LxduXHEVXIIntaAkCEaQNo$" TargetMode="External"/><Relationship Id="rId12" Type="http://schemas.openxmlformats.org/officeDocument/2006/relationships/image" Target="media/image4.png"/><Relationship Id="rId17" Type="http://schemas.openxmlformats.org/officeDocument/2006/relationships/hyperlink" Target="https://urldefense.com/v3/__https:/humana.zoom.us/meeting/register/tJctcuipqDouHtA-UKUYHc0tBtcUMeeIGoDj*/registration__;Iw!!BgIKVS048w!sLBdtKIfJWyd2bMaAQmzXgMwrtQoUYqsiS56vmsXbctSfXI5KQd_srP4NwgSb6X-O1LxduXHEVXIIntaAsRisoi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rldefense.com/v3/__https:/humana.zoom.us/webinar/register/WN_QS5O1RJ7Rxed1cDs3p-KQg*/registration__;Iw!!BgIKVS048w!sLBdtKIfJWyd2bMaAQmzXgMwrtQoUYqsiS56vmsXbctSfXI5KQd_srP4NwgSb6X-O1LxduXHEVXIIntaAjDTInW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urldefense.com/v3/__https:/humana.zoom.us/webinar/register/WN_pzxbR89nSMW7QazsFOuQOQ*/registration__;Iw!!BgIKVS048w!sLBdtKIfJWyd2bMaAQmzXgMwrtQoUYqsiS56vmsXbctSfXI5KQd_srP4NwgSb6X-O1LxduXHEVXIIntaArBq0ajD$"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urldefense.com/v3/__https:/humana.zoom.us/webinar/register/WN_8TZdQCxZQbSEvxF-u9usnA*/registration__;Iw!!BgIKVS048w!sLBdtKIfJWyd2bMaAQmzXgMwrtQoUYqsiS56vmsXbctSfXI5KQd_srP4NwgSb6X-O1LxduXHEVXIIntaAtkdxXQB$" TargetMode="External"/><Relationship Id="rId4" Type="http://schemas.openxmlformats.org/officeDocument/2006/relationships/footnotes" Target="footnotes.xml"/><Relationship Id="rId9" Type="http://schemas.openxmlformats.org/officeDocument/2006/relationships/hyperlink" Target="https://urldefense.com/v3/__https:/humana.zoom.us/webinar/register/WN_LfbHXKqbSAOo_xLjByS3fg*/registration__;Iw!!BgIKVS048w!sLBdtKIfJWyd2bMaAQmzXgMwrtQoUYqsiS56vmsXbctSfXI5KQd_srP4NwgSb6X-O1LxduXHEVXIIntaAv8pNphz$" TargetMode="External"/><Relationship Id="rId14" Type="http://schemas.openxmlformats.org/officeDocument/2006/relationships/image" Target="media/image5.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Powis, Jade</cp:lastModifiedBy>
  <cp:revision>2</cp:revision>
  <dcterms:created xsi:type="dcterms:W3CDTF">2025-07-07T14:40:00Z</dcterms:created>
  <dcterms:modified xsi:type="dcterms:W3CDTF">2025-07-07T14:43:00Z</dcterms:modified>
</cp:coreProperties>
</file>