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40a69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429583" cy="785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583" cy="785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color w:val="0096c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b w:val="1"/>
          <w:color w:val="0096c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  <w:color w:val="0096c8"/>
          <w:sz w:val="40"/>
          <w:szCs w:val="40"/>
        </w:rPr>
      </w:pPr>
      <w:r w:rsidDel="00000000" w:rsidR="00000000" w:rsidRPr="00000000">
        <w:rPr>
          <w:b w:val="1"/>
          <w:color w:val="0096c8"/>
          <w:sz w:val="40"/>
          <w:szCs w:val="40"/>
          <w:rtl w:val="0"/>
        </w:rPr>
        <w:t xml:space="preserve">Avoiding Allegations- Important Reminders to Keep You Compliant</w:t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  <w:color w:val="ff6f21"/>
          <w:sz w:val="24"/>
          <w:szCs w:val="24"/>
        </w:rPr>
      </w:pPr>
      <w:r w:rsidDel="00000000" w:rsidR="00000000" w:rsidRPr="00000000">
        <w:rPr>
          <w:b w:val="1"/>
          <w:color w:val="ff6f21"/>
          <w:sz w:val="24"/>
          <w:szCs w:val="24"/>
          <w:rtl w:val="0"/>
        </w:rPr>
        <w:t xml:space="preserve">MCC Brokerage Compliance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  <w:color w:val="ff6f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Did you know that even if a Medicare beneficiary files a complaint against you and it’s initially ruled </w:t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“unfounded,”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the carrier can still turn around and classify it as </w:t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“founded”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—all because of a few overlooked compliance steps?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b w:val="1"/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Many agents don’t realize how easily this can happen.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If you didn’t do the following, you could be at risk: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color w:val="434343"/>
          <w:sz w:val="24"/>
          <w:szCs w:val="24"/>
          <w:u w:val="none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Confirm whether the member makes their own medical decisions or has a medical Power of Attorney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434343"/>
          <w:sz w:val="24"/>
          <w:szCs w:val="24"/>
          <w:u w:val="none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Failed to read the required TPMO disclaimer at the very start of the call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color w:val="434343"/>
          <w:sz w:val="24"/>
          <w:szCs w:val="24"/>
          <w:u w:val="none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Forgot to review the member’s specialists, medications, and preferred pharmacy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It doesn’t stop there.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If you didn’t provide the member with a confirmation number to prove enrollment or neglected to obtain a Scope of Appointment,</w:t>
      </w: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that’s enough for a carrier to justify changing the status of the allegation.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color w:val="434343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Receiving a “founded” allegation is more than just a mark on your record—it can lead to coaching sessions, written warnings, corrective actions, or more severe consequences that could impact your business.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Staying compliant isn’t just about following the rules; it’s about protecting your livelihood and reputation.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If you need guidance on staying on top of these important requirements, don’t hesitate to reach out to your Compliance Director, Melissa at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813-935-8361 or by email at </w:t>
      </w:r>
      <w:hyperlink r:id="rId7">
        <w:r w:rsidDel="00000000" w:rsidR="00000000" w:rsidRPr="00000000">
          <w:rPr>
            <w:color w:val="434343"/>
            <w:sz w:val="24"/>
            <w:szCs w:val="24"/>
            <w:u w:val="single"/>
            <w:rtl w:val="0"/>
          </w:rPr>
          <w:t xml:space="preserve">mcc@mccbrokerage.com</w:t>
        </w:r>
      </w:hyperlink>
      <w:r w:rsidDel="00000000" w:rsidR="00000000" w:rsidRPr="00000000">
        <w:rPr>
          <w:color w:val="434343"/>
          <w:sz w:val="24"/>
          <w:szCs w:val="24"/>
          <w:rtl w:val="0"/>
        </w:rPr>
        <w:t xml:space="preserve">.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cc@mccbrokerage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