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center"/>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60.0" w:type="dxa"/>
              <w:jc w:val="center"/>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360.0" w:type="dxa"/>
                    <w:jc w:val="left"/>
                    <w:tblLayout w:type="fixed"/>
                    <w:tblLook w:val="0400"/>
                  </w:tblPr>
                  <w:tblGrid>
                    <w:gridCol w:w="9360"/>
                    <w:tblGridChange w:id="0">
                      <w:tblGrid>
                        <w:gridCol w:w="9360"/>
                      </w:tblGrid>
                    </w:tblGridChange>
                  </w:tblGrid>
                  <w:tr>
                    <w:trPr>
                      <w:cantSplit w:val="0"/>
                      <w:tblHeader w:val="0"/>
                    </w:trPr>
                    <w:tc>
                      <w:tcPr>
                        <w:shd w:fill="ffffff"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9360.0" w:type="dxa"/>
                          <w:jc w:val="center"/>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6">
                                    <w:pPr>
                                      <w:rPr/>
                                    </w:pPr>
                                    <w:r w:rsidDel="00000000" w:rsidR="00000000" w:rsidRPr="00000000">
                                      <w:rPr/>
                                      <w:drawing>
                                        <wp:inline distB="0" distT="0" distL="0" distR="0">
                                          <wp:extent cx="1905000" cy="381000"/>
                                          <wp:effectExtent b="0" l="0" r="0" t="0"/>
                                          <wp:docPr descr="A blue text on a black background&#10;&#10;AI-generated content may be incorrect." id="1903197386" name="image1.png"/>
                                          <a:graphic>
                                            <a:graphicData uri="http://schemas.openxmlformats.org/drawingml/2006/picture">
                                              <pic:pic>
                                                <pic:nvPicPr>
                                                  <pic:cNvPr descr="A blue text on a black background&#10;&#10;AI-generated content may be incorrect." id="0" name="image1.png"/>
                                                  <pic:cNvPicPr preferRelativeResize="0"/>
                                                </pic:nvPicPr>
                                                <pic:blipFill>
                                                  <a:blip r:embed="rId7"/>
                                                  <a:srcRect b="0" l="0" r="0" t="0"/>
                                                  <a:stretch>
                                                    <a:fillRect/>
                                                  </a:stretch>
                                                </pic:blipFill>
                                                <pic:spPr>
                                                  <a:xfrm>
                                                    <a:off x="0" y="0"/>
                                                    <a:ext cx="1905000" cy="381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0B">
                                    <w:pPr>
                                      <w:rPr/>
                                    </w:pPr>
                                    <w:r w:rsidDel="00000000" w:rsidR="00000000" w:rsidRPr="00000000">
                                      <w:rPr>
                                        <w:rtl w:val="0"/>
                                      </w:rPr>
                                    </w:r>
                                  </w:p>
                                  <w:tbl>
                                    <w:tblPr>
                                      <w:tblStyle w:val="Table8"/>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0D">
                                                <w:pPr>
                                                  <w:rPr/>
                                                </w:pPr>
                                                <w:r w:rsidDel="00000000" w:rsidR="00000000" w:rsidRPr="00000000">
                                                  <w:rPr/>
                                                  <w:drawing>
                                                    <wp:inline distB="0" distT="0" distL="0" distR="0">
                                                      <wp:extent cx="5943600" cy="818515"/>
                                                      <wp:effectExtent b="0" l="0" r="0" t="0"/>
                                                      <wp:docPr descr="A blue rectangle with text&#10;&#10;AI-generated content may be incorrect." id="1903197388" name="image3.png"/>
                                                      <a:graphic>
                                                        <a:graphicData uri="http://schemas.openxmlformats.org/drawingml/2006/picture">
                                                          <pic:pic>
                                                            <pic:nvPicPr>
                                                              <pic:cNvPr descr="A blue rectangle with text&#10;&#10;AI-generated content may be incorrect." id="0" name="image3.png"/>
                                                              <pic:cNvPicPr preferRelativeResize="0"/>
                                                            </pic:nvPicPr>
                                                            <pic:blipFill>
                                                              <a:blip r:embed="rId8"/>
                                                              <a:srcRect b="0" l="0" r="0" t="0"/>
                                                              <a:stretch>
                                                                <a:fillRect/>
                                                              </a:stretch>
                                                            </pic:blipFill>
                                                            <pic:spPr>
                                                              <a:xfrm>
                                                                <a:off x="0" y="0"/>
                                                                <a:ext cx="5943600" cy="81851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10">
                                          <w:pPr>
                                            <w:rPr/>
                                          </w:pPr>
                                          <w:r w:rsidDel="00000000" w:rsidR="00000000" w:rsidRPr="00000000">
                                            <w:rPr>
                                              <w:rtl w:val="0"/>
                                            </w:rPr>
                                            <w:br w:type="textWrapping"/>
                                          </w:r>
                                          <w:r w:rsidDel="00000000" w:rsidR="00000000" w:rsidRPr="00000000">
                                            <w:rPr>
                                              <w:b w:val="1"/>
                                              <w:rtl w:val="0"/>
                                            </w:rPr>
                                            <w:t xml:space="preserve">Attention agents who offer AARP</w:t>
                                          </w:r>
                                          <w:r w:rsidDel="00000000" w:rsidR="00000000" w:rsidRPr="00000000">
                                            <w:rPr>
                                              <w:b w:val="1"/>
                                              <w:vertAlign w:val="superscript"/>
                                              <w:rtl w:val="0"/>
                                            </w:rPr>
                                            <w:t xml:space="preserve">®</w:t>
                                          </w:r>
                                          <w:r w:rsidDel="00000000" w:rsidR="00000000" w:rsidRPr="00000000">
                                            <w:rPr>
                                              <w:b w:val="1"/>
                                              <w:rtl w:val="0"/>
                                            </w:rPr>
                                            <w:t xml:space="preserve"> Medicare Supplement Insurance</w:t>
                                          </w:r>
                                          <w:r w:rsidDel="00000000" w:rsidR="00000000" w:rsidRPr="00000000">
                                            <w:rPr>
                                              <w:rtl w:val="0"/>
                                            </w:rPr>
                                            <w:t xml:space="preserve"> </w:t>
                                          </w:r>
                                          <w:r w:rsidDel="00000000" w:rsidR="00000000" w:rsidRPr="00000000">
                                            <w:rPr>
                                              <w:b w:val="1"/>
                                              <w:rtl w:val="0"/>
                                            </w:rPr>
                                            <w:t xml:space="preserve">Plans from UnitedHealthcare</w:t>
                                          </w:r>
                                          <w:r w:rsidDel="00000000" w:rsidR="00000000" w:rsidRPr="00000000">
                                            <w:rPr>
                                              <w:b w:val="1"/>
                                              <w:vertAlign w:val="superscript"/>
                                              <w:rtl w:val="0"/>
                                            </w:rPr>
                                            <w:t xml:space="preserve">®</w:t>
                                          </w:r>
                                          <w:r w:rsidDel="00000000" w:rsidR="00000000" w:rsidRPr="00000000">
                                            <w:rPr>
                                              <w:b w:val="1"/>
                                              <w:rtl w:val="0"/>
                                            </w:rPr>
                                            <w:t xml:space="preserve"> in Wyoming.</w:t>
                                          </w:r>
                                          <w:r w:rsidDel="00000000" w:rsidR="00000000" w:rsidRPr="00000000">
                                            <w:rPr>
                                              <w:rtl w:val="0"/>
                                            </w:rPr>
                                            <w:br w:type="textWrapping"/>
                                            <w:t xml:space="preserve"> </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12">
                                          <w:pPr>
                                            <w:rPr/>
                                          </w:pPr>
                                          <w:r w:rsidDel="00000000" w:rsidR="00000000" w:rsidRPr="00000000">
                                            <w:rPr>
                                              <w:rtl w:val="0"/>
                                            </w:rPr>
                                            <w:t xml:space="preserve">Effective June 4, 2025, the state of Wyoming implemented an Annual 64-day Birthday Enrollment Period that allows Wyoming residents to replace their current Medicare Supplement plan with a Medicare Supplement plan of comparable or lesser benefits offered by any insurer. If the individual qualifies for the Annual 64-day Birthday Enrollment Period, the individual will not be underwritten.</w:t>
                                            <w:br w:type="textWrapping"/>
                                            <w:br w:type="textWrapping"/>
                                          </w:r>
                                          <w:r w:rsidDel="00000000" w:rsidR="00000000" w:rsidRPr="00000000">
                                            <w:rPr>
                                              <w:b w:val="1"/>
                                              <w:rtl w:val="0"/>
                                            </w:rPr>
                                            <w:t xml:space="preserve">Below, please find additional qualification requirements you may find helpful:</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Applicant must be replacing their current Medicare Supplement plan with another Medicare Supplement plan that has comparable or lesser benefits.</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Applicant must provide documentation from the current Medicare Supplement plan carrier that shows their name as the insured individual, the current plan code and proof the plan is still active.</w:t>
                                          </w:r>
                                          <w:r w:rsidDel="00000000" w:rsidR="00000000" w:rsidRPr="00000000">
                                            <w:rPr>
                                              <w:vertAlign w:val="superscript"/>
                                              <w:rtl w:val="0"/>
                                            </w:rPr>
                                            <w:t xml:space="preserve">1 </w:t>
                                          </w:r>
                                          <w:r w:rsidDel="00000000" w:rsidR="00000000" w:rsidRPr="00000000">
                                            <w:rPr>
                                              <w:b w:val="1"/>
                                              <w:rtl w:val="0"/>
                                            </w:rPr>
                                            <w:t xml:space="preserve">Examples include, but are not limited to:</w:t>
                                          </w:r>
                                          <w:r w:rsidDel="00000000" w:rsidR="00000000" w:rsidRPr="00000000">
                                            <w:rPr>
                                              <w:rtl w:val="0"/>
                                            </w:rPr>
                                          </w:r>
                                        </w:p>
                                        <w:p w:rsidR="00000000" w:rsidDel="00000000" w:rsidP="00000000" w:rsidRDefault="00000000" w:rsidRPr="00000000" w14:paraId="00000017">
                                          <w:pPr>
                                            <w:numPr>
                                              <w:ilvl w:val="1"/>
                                              <w:numId w:val="2"/>
                                            </w:numPr>
                                            <w:ind w:left="1440" w:hanging="360"/>
                                            <w:rPr/>
                                          </w:pPr>
                                          <w:r w:rsidDel="00000000" w:rsidR="00000000" w:rsidRPr="00000000">
                                            <w:rPr>
                                              <w:b w:val="1"/>
                                              <w:rtl w:val="0"/>
                                            </w:rPr>
                                            <w:t xml:space="preserve">Letter from the applicant’s current carrier</w:t>
                                          </w:r>
                                          <w:r w:rsidDel="00000000" w:rsidR="00000000" w:rsidRPr="00000000">
                                            <w:rPr>
                                              <w:rtl w:val="0"/>
                                            </w:rPr>
                                          </w:r>
                                        </w:p>
                                        <w:p w:rsidR="00000000" w:rsidDel="00000000" w:rsidP="00000000" w:rsidRDefault="00000000" w:rsidRPr="00000000" w14:paraId="00000018">
                                          <w:pPr>
                                            <w:numPr>
                                              <w:ilvl w:val="1"/>
                                              <w:numId w:val="2"/>
                                            </w:numPr>
                                            <w:ind w:left="1440" w:hanging="360"/>
                                            <w:rPr/>
                                          </w:pPr>
                                          <w:r w:rsidDel="00000000" w:rsidR="00000000" w:rsidRPr="00000000">
                                            <w:rPr>
                                              <w:b w:val="1"/>
                                              <w:rtl w:val="0"/>
                                            </w:rPr>
                                            <w:t xml:space="preserve">Copy of the ID card for the current plan and a current billing statement</w:t>
                                          </w:r>
                                          <w:r w:rsidDel="00000000" w:rsidR="00000000" w:rsidRPr="00000000">
                                            <w:rPr>
                                              <w:rtl w:val="0"/>
                                            </w:rPr>
                                            <w:t xml:space="preserve">                                         </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UnitedHealthcare must </w:t>
                                          </w:r>
                                          <w:r w:rsidDel="00000000" w:rsidR="00000000" w:rsidRPr="00000000">
                                            <w:rPr>
                                              <w:b w:val="1"/>
                                              <w:u w:val="single"/>
                                              <w:rtl w:val="0"/>
                                            </w:rPr>
                                            <w:t xml:space="preserve">receive</w:t>
                                          </w:r>
                                          <w:r w:rsidDel="00000000" w:rsidR="00000000" w:rsidRPr="00000000">
                                            <w:rPr>
                                              <w:rtl w:val="0"/>
                                            </w:rPr>
                                            <w:t xml:space="preserve"> the application no sooner than the applicant’s birthday and no later than 63 days following the applicant’s birthday.</w:t>
                                          </w:r>
                                        </w:p>
                                        <w:p w:rsidR="00000000" w:rsidDel="00000000" w:rsidP="00000000" w:rsidRDefault="00000000" w:rsidRPr="00000000" w14:paraId="0000001A">
                                          <w:pPr>
                                            <w:rPr/>
                                          </w:pPr>
                                          <w:r w:rsidDel="00000000" w:rsidR="00000000" w:rsidRPr="00000000">
                                            <w:rPr>
                                              <w:b w:val="1"/>
                                              <w:rtl w:val="0"/>
                                            </w:rPr>
                                            <w:t xml:space="preserve">Application information</w:t>
                                          </w:r>
                                          <w:r w:rsidDel="00000000" w:rsidR="00000000" w:rsidRPr="00000000">
                                            <w:rPr>
                                              <w:rtl w:val="0"/>
                                            </w:rPr>
                                            <w:br w:type="textWrapping"/>
                                            <w:t xml:space="preserve">Wyoming applications will reflect a new birthday question in the future. In the meantime, whether you are using a paper agent enrollment kit or JarvisEnroll, if the applicant is eligible for the Annual 64-day Birthday Enrollment Period, please answer </w:t>
                                          </w:r>
                                          <w:r w:rsidDel="00000000" w:rsidR="00000000" w:rsidRPr="00000000">
                                            <w:rPr>
                                              <w:b w:val="1"/>
                                              <w:rtl w:val="0"/>
                                            </w:rPr>
                                            <w:t xml:space="preserve">“Yes” </w:t>
                                          </w:r>
                                          <w:r w:rsidDel="00000000" w:rsidR="00000000" w:rsidRPr="00000000">
                                            <w:rPr>
                                              <w:rtl w:val="0"/>
                                            </w:rPr>
                                            <w:t xml:space="preserve">to the following application question:</w:t>
                                          </w:r>
                                        </w:p>
                                        <w:p w:rsidR="00000000" w:rsidDel="00000000" w:rsidP="00000000" w:rsidRDefault="00000000" w:rsidRPr="00000000" w14:paraId="0000001B">
                                          <w:pPr>
                                            <w:rPr>
                                              <w:b w:val="1"/>
                                            </w:rPr>
                                          </w:pPr>
                                          <w:r w:rsidDel="00000000" w:rsidR="00000000" w:rsidRPr="00000000">
                                            <w:rPr>
                                              <w:i w:val="1"/>
                                              <w:rtl w:val="0"/>
                                            </w:rPr>
                                            <w:t xml:space="preserve">Have you lost or are losing health insurance coverage or do you have a Medicare Advantage Plan “trial right” and, if so, have you received a notice from your employer or prior insurer saying that you are eligible for guaranteed issue of a Medicare supplement plan?</w:t>
                                          </w:r>
                                          <w:r w:rsidDel="00000000" w:rsidR="00000000" w:rsidRPr="00000000">
                                            <w:rPr>
                                              <w:rtl w:val="0"/>
                                            </w:rPr>
                                          </w:r>
                                        </w:p>
                                        <w:p w:rsidR="00000000" w:rsidDel="00000000" w:rsidP="00000000" w:rsidRDefault="00000000" w:rsidRPr="00000000" w14:paraId="0000001C">
                                          <w:pPr>
                                            <w:numPr>
                                              <w:ilvl w:val="0"/>
                                              <w:numId w:val="4"/>
                                            </w:numPr>
                                            <w:ind w:left="720" w:hanging="360"/>
                                            <w:rPr/>
                                          </w:pPr>
                                          <w:r w:rsidDel="00000000" w:rsidR="00000000" w:rsidRPr="00000000">
                                            <w:rPr>
                                              <w:rtl w:val="0"/>
                                            </w:rPr>
                                            <w:t xml:space="preserve">On the paper application, this is question 3B.</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When completing an application within JarvisEnroll, once </w:t>
                                          </w:r>
                                          <w:r w:rsidDel="00000000" w:rsidR="00000000" w:rsidRPr="00000000">
                                            <w:rPr>
                                              <w:b w:val="1"/>
                                              <w:rtl w:val="0"/>
                                            </w:rPr>
                                            <w:t xml:space="preserve">“Yes”</w:t>
                                          </w:r>
                                          <w:r w:rsidDel="00000000" w:rsidR="00000000" w:rsidRPr="00000000">
                                            <w:rPr>
                                              <w:rtl w:val="0"/>
                                            </w:rPr>
                                            <w:t xml:space="preserve"> is answered to the question above, the following question may populate</w:t>
                                          </w:r>
                                        </w:p>
                                        <w:p w:rsidR="00000000" w:rsidDel="00000000" w:rsidP="00000000" w:rsidRDefault="00000000" w:rsidRPr="00000000" w14:paraId="0000001E">
                                          <w:pPr>
                                            <w:numPr>
                                              <w:ilvl w:val="1"/>
                                              <w:numId w:val="4"/>
                                            </w:numPr>
                                            <w:ind w:left="1440" w:hanging="360"/>
                                            <w:rPr/>
                                          </w:pPr>
                                          <w:r w:rsidDel="00000000" w:rsidR="00000000" w:rsidRPr="00000000">
                                            <w:rPr>
                                              <w:rtl w:val="0"/>
                                            </w:rPr>
                                            <w:t xml:space="preserve"> </w:t>
                                          </w:r>
                                          <w:r w:rsidDel="00000000" w:rsidR="00000000" w:rsidRPr="00000000">
                                            <w:rPr>
                                              <w:i w:val="1"/>
                                              <w:rtl w:val="0"/>
                                            </w:rPr>
                                            <w:t xml:space="preserve">Do any of the below scenarios apply to the applicant? </w:t>
                                          </w:r>
                                          <w:r w:rsidDel="00000000" w:rsidR="00000000" w:rsidRPr="00000000">
                                            <w:rPr>
                                              <w:rtl w:val="0"/>
                                            </w:rPr>
                                            <w:t xml:space="preserve">Please answer </w:t>
                                          </w:r>
                                          <w:r w:rsidDel="00000000" w:rsidR="00000000" w:rsidRPr="00000000">
                                            <w:rPr>
                                              <w:b w:val="1"/>
                                              <w:rtl w:val="0"/>
                                            </w:rPr>
                                            <w:t xml:space="preserve">“Yes”</w:t>
                                          </w:r>
                                          <w:r w:rsidDel="00000000" w:rsidR="00000000" w:rsidRPr="00000000">
                                            <w:rPr>
                                              <w:rtl w:val="0"/>
                                            </w:rPr>
                                            <w:t xml:space="preserve"> to this question.</w:t>
                                          </w:r>
                                        </w:p>
                                        <w:p w:rsidR="00000000" w:rsidDel="00000000" w:rsidP="00000000" w:rsidRDefault="00000000" w:rsidRPr="00000000" w14:paraId="0000001F">
                                          <w:pPr>
                                            <w:rPr/>
                                          </w:pPr>
                                          <w:r w:rsidDel="00000000" w:rsidR="00000000" w:rsidRPr="00000000">
                                            <w:rPr>
                                              <w:rtl w:val="0"/>
                                            </w:rPr>
                                            <w:br w:type="textWrapping"/>
                                            <w:t xml:space="preserve">Applications that qualify for the Wyoming Annual Birthday Enrollment Period are considered Guaranteed Issue, and commissions will be paid according to the Medicare Supplement commission schedule.</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13"/>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23">
                                                <w:pPr>
                                                  <w:rPr/>
                                                </w:pPr>
                                                <w:r w:rsidDel="00000000" w:rsidR="00000000" w:rsidRPr="00000000">
                                                  <w:rPr>
                                                    <w:u w:val="single"/>
                                                  </w:rPr>
                                                  <w:drawing>
                                                    <wp:inline distB="0" distT="0" distL="0" distR="0">
                                                      <wp:extent cx="5715000" cy="2209800"/>
                                                      <wp:effectExtent b="0" l="0" r="0" t="0"/>
                                                      <wp:docPr descr="A blue and orange sign with white text&#10;&#10;AI-generated content may be incorrect." id="1903197387" name="image2.png"/>
                                                      <a:graphic>
                                                        <a:graphicData uri="http://schemas.openxmlformats.org/drawingml/2006/picture">
                                                          <pic:pic>
                                                            <pic:nvPicPr>
                                                              <pic:cNvPr descr="A blue and orange sign with white text&#10;&#10;AI-generated content may be incorrect." id="0" name="image2.png"/>
                                                              <pic:cNvPicPr preferRelativeResize="0"/>
                                                            </pic:nvPicPr>
                                                            <pic:blipFill>
                                                              <a:blip r:embed="rId9"/>
                                                              <a:srcRect b="0" l="0" r="0" t="0"/>
                                                              <a:stretch>
                                                                <a:fillRect/>
                                                              </a:stretch>
                                                            </pic:blipFill>
                                                            <pic:spPr>
                                                              <a:xfrm>
                                                                <a:off x="0" y="0"/>
                                                                <a:ext cx="5715000" cy="2209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27">
                                          <w:pPr>
                                            <w:rPr/>
                                          </w:pPr>
                                          <w:r w:rsidDel="00000000" w:rsidR="00000000" w:rsidRPr="00000000">
                                            <w:rPr>
                                              <w:rtl w:val="0"/>
                                            </w:rPr>
                                            <w:br w:type="textWrapping"/>
                                            <w:br w:type="textWrapping"/>
                                          </w:r>
                                          <w:r w:rsidDel="00000000" w:rsidR="00000000" w:rsidRPr="00000000">
                                            <w:rPr>
                                              <w:b w:val="1"/>
                                              <w:rtl w:val="0"/>
                                            </w:rPr>
                                            <w:t xml:space="preserve">Here to help </w:t>
                                          </w:r>
                                          <w:r w:rsidDel="00000000" w:rsidR="00000000" w:rsidRPr="00000000">
                                            <w:rPr>
                                              <w:rtl w:val="0"/>
                                            </w:rPr>
                                            <w:br w:type="textWrapping"/>
                                            <w:t xml:space="preserve">For questions, contact the </w:t>
                                          </w:r>
                                          <w:hyperlink r:id="rId10">
                                            <w:r w:rsidDel="00000000" w:rsidR="00000000" w:rsidRPr="00000000">
                                              <w:rPr>
                                                <w:color w:val="467886"/>
                                                <w:u w:val="single"/>
                                                <w:rtl w:val="0"/>
                                              </w:rPr>
                                              <w:t xml:space="preserve">Producer Help Desk (PHD) via Chat</w:t>
                                            </w:r>
                                          </w:hyperlink>
                                          <w:r w:rsidDel="00000000" w:rsidR="00000000" w:rsidRPr="00000000">
                                            <w:rPr>
                                              <w:rtl w:val="0"/>
                                            </w:rPr>
                                            <w:t xml:space="preserve"> on Jarvis or call 1-866-381-8581. For Spanish, call 1-866-235-5990.</w:t>
                                            <w:br w:type="textWrapping"/>
                                            <w:br w:type="textWrapping"/>
                                            <w:br w:type="textWrapping"/>
                                          </w:r>
                                          <w:r w:rsidDel="00000000" w:rsidR="00000000" w:rsidRPr="00000000">
                                            <w:rPr>
                                              <w:vertAlign w:val="superscript"/>
                                              <w:rtl w:val="0"/>
                                            </w:rPr>
                                            <w:t xml:space="preserve">1</w:t>
                                          </w:r>
                                          <w:r w:rsidDel="00000000" w:rsidR="00000000" w:rsidRPr="00000000">
                                            <w:rPr>
                                              <w:rtl w:val="0"/>
                                            </w:rPr>
                                            <w:t xml:space="preserve">Proof of applicant’s current coverage is not required for current AARP Medicare Supplement Plan members.</w:t>
                                            <w:br w:type="textWrapping"/>
                                            <w:t xml:space="preserve"> </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29">
                                          <w:pPr>
                                            <w:rPr/>
                                          </w:pPr>
                                          <w:r w:rsidDel="00000000" w:rsidR="00000000" w:rsidRPr="00000000">
                                            <w:rPr>
                                              <w:rtl w:val="0"/>
                                            </w:rPr>
                                            <w:br w:type="textWrapping"/>
                                            <w:t xml:space="preserve">AARP endorses the AARP Medicare Supplement Insurance Plans insured by UnitedHealthcare Insurance Company or an affiliate (collectively "UnitedHealthcare"). UnitedHealthcare pays royalty fees to AARP for the use of its intellectual property. These fees are used for the general purposes of AARP. AARP and its affiliates are not insurers. AARP does not employ or endorse agents, brokers or producers.</w:t>
                                          </w:r>
                                        </w:p>
                                        <w:p w:rsidR="00000000" w:rsidDel="00000000" w:rsidP="00000000" w:rsidRDefault="00000000" w:rsidRPr="00000000" w14:paraId="0000002A">
                                          <w:pPr>
                                            <w:rPr/>
                                          </w:pPr>
                                          <w:r w:rsidDel="00000000" w:rsidR="00000000" w:rsidRPr="00000000">
                                            <w:rPr>
                                              <w:rtl w:val="0"/>
                                            </w:rPr>
                                            <w:br w:type="textWrapping"/>
                                            <w:t xml:space="preserve">July 2025. </w:t>
                                          </w:r>
                                          <w:r w:rsidDel="00000000" w:rsidR="00000000" w:rsidRPr="00000000">
                                            <w:rPr>
                                              <w:b w:val="1"/>
                                              <w:rtl w:val="0"/>
                                            </w:rPr>
                                            <w:t xml:space="preserve">Confidential and proprietary information of UnitedHealth Group. For internal/agent use only. Do not distribute or reproduce any portion without the express written permission of UnitedHealth Group.</w:t>
                                          </w:r>
                                          <w:r w:rsidDel="00000000" w:rsidR="00000000" w:rsidRPr="00000000">
                                            <w:rPr>
                                              <w:rtl w:val="0"/>
                                            </w:rPr>
                                            <w:br w:type="textWrapping"/>
                                            <w:t xml:space="preserve"> </w:t>
                                          </w:r>
                                        </w:p>
                                        <w:p w:rsidR="00000000" w:rsidDel="00000000" w:rsidP="00000000" w:rsidRDefault="00000000" w:rsidRPr="00000000" w14:paraId="0000002B">
                                          <w:pPr>
                                            <w:rPr/>
                                          </w:pPr>
                                          <w:r w:rsidDel="00000000" w:rsidR="00000000" w:rsidRPr="00000000">
                                            <w:rPr>
                                              <w:rtl w:val="0"/>
                                            </w:rPr>
                                            <w:br w:type="textWrapping"/>
                                            <w:t xml:space="preserve"> </w:t>
                                          </w:r>
                                        </w:p>
                                      </w:tc>
                                    </w:tr>
                                  </w:tbl>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2140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2140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2140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2140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2140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2140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2140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2140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2140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2140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2140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2140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2140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2140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2140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21403"/>
    <w:rPr>
      <w:i w:val="1"/>
      <w:iCs w:val="1"/>
      <w:color w:val="404040" w:themeColor="text1" w:themeTint="0000BF"/>
    </w:rPr>
  </w:style>
  <w:style w:type="paragraph" w:styleId="ListParagraph">
    <w:name w:val="List Paragraph"/>
    <w:basedOn w:val="Normal"/>
    <w:uiPriority w:val="34"/>
    <w:qFormat w:val="1"/>
    <w:rsid w:val="00521403"/>
    <w:pPr>
      <w:ind w:left="720"/>
      <w:contextualSpacing w:val="1"/>
    </w:pPr>
  </w:style>
  <w:style w:type="character" w:styleId="IntenseEmphasis">
    <w:name w:val="Intense Emphasis"/>
    <w:basedOn w:val="DefaultParagraphFont"/>
    <w:uiPriority w:val="21"/>
    <w:qFormat w:val="1"/>
    <w:rsid w:val="00521403"/>
    <w:rPr>
      <w:i w:val="1"/>
      <w:iCs w:val="1"/>
      <w:color w:val="0f4761" w:themeColor="accent1" w:themeShade="0000BF"/>
    </w:rPr>
  </w:style>
  <w:style w:type="paragraph" w:styleId="IntenseQuote">
    <w:name w:val="Intense Quote"/>
    <w:basedOn w:val="Normal"/>
    <w:next w:val="Normal"/>
    <w:link w:val="IntenseQuoteChar"/>
    <w:uiPriority w:val="30"/>
    <w:qFormat w:val="1"/>
    <w:rsid w:val="0052140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21403"/>
    <w:rPr>
      <w:i w:val="1"/>
      <w:iCs w:val="1"/>
      <w:color w:val="0f4761" w:themeColor="accent1" w:themeShade="0000BF"/>
    </w:rPr>
  </w:style>
  <w:style w:type="character" w:styleId="IntenseReference">
    <w:name w:val="Intense Reference"/>
    <w:basedOn w:val="DefaultParagraphFont"/>
    <w:uiPriority w:val="32"/>
    <w:qFormat w:val="1"/>
    <w:rsid w:val="00521403"/>
    <w:rPr>
      <w:b w:val="1"/>
      <w:bCs w:val="1"/>
      <w:smallCaps w:val="1"/>
      <w:color w:val="0f4761" w:themeColor="accent1" w:themeShade="0000BF"/>
      <w:spacing w:val="5"/>
    </w:rPr>
  </w:style>
  <w:style w:type="character" w:styleId="Hyperlink">
    <w:name w:val="Hyperlink"/>
    <w:basedOn w:val="DefaultParagraphFont"/>
    <w:uiPriority w:val="99"/>
    <w:unhideWhenUsed w:val="1"/>
    <w:rsid w:val="00521403"/>
    <w:rPr>
      <w:color w:val="467886" w:themeColor="hyperlink"/>
      <w:u w:val="single"/>
    </w:rPr>
  </w:style>
  <w:style w:type="character" w:styleId="UnresolvedMention">
    <w:name w:val="Unresolved Mention"/>
    <w:basedOn w:val="DefaultParagraphFont"/>
    <w:uiPriority w:val="99"/>
    <w:semiHidden w:val="1"/>
    <w:unhideWhenUsed w:val="1"/>
    <w:rsid w:val="00521403"/>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urldefense.com/v3/__https:/click.uhc-info.com/?qs=164fb6672312dd3c942b3b93821d7b6cd5a72238da062b2aee173c4b8b74c275242a60ee2c7214a4af0cae838e032332__;!!BgIKVS048w!pgSS1qLA5ZOlUqfMK5-00rx-0bZq-9aXe5_hYzvPf5y6tl6Lrm8AaQEHoEFI-bZ0B041MLqMUE7t_AYO0XYXS0zdJS_IyQ$"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HtqwqqyHvSLQ8Iy/9EtqpnTw==">CgMxLjA4AHIhMVo3R01aUGZJUC1hTWZ1VkxiNERlTTQtejYwN3R6OGpX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2025-07-10T14:40:00Z</dcterms:created>
  <dc:creator>Trombley, Bradley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77593c7f-21ac-41c6-a09b-493247a46656</vt:lpwstr>
  </property>
</Properties>
</file>