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52.00000000000003" w:lineRule="auto"/>
        <w:rPr>
          <w:b w:val="1"/>
          <w:color w:val="ff5921"/>
          <w:sz w:val="36"/>
          <w:szCs w:val="36"/>
        </w:rPr>
      </w:pPr>
      <w:r w:rsidDel="00000000" w:rsidR="00000000" w:rsidRPr="00000000">
        <w:rPr>
          <w:b w:val="1"/>
          <w:color w:val="ff5921"/>
          <w:sz w:val="36"/>
          <w:szCs w:val="36"/>
          <w:rtl w:val="0"/>
        </w:rPr>
        <w:t xml:space="preserve">SunFire: Multi-Factor Authentication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color w:val="444444"/>
          <w:sz w:val="24"/>
          <w:szCs w:val="24"/>
        </w:rPr>
      </w:pPr>
      <w:r w:rsidDel="00000000" w:rsidR="00000000" w:rsidRPr="00000000">
        <w:rPr>
          <w:b w:val="1"/>
          <w:color w:val="40a691"/>
          <w:sz w:val="23"/>
          <w:szCs w:val="23"/>
          <w:rtl w:val="0"/>
        </w:rPr>
        <w:br w:type="textWrapping"/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MCC Brokerage would like to share an important update on behalf of Sunfire.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To comply with carrier requirements, all SunFire users will be required to use Multi-Factor Authentication (MFA) to login to SunFire.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color w:val="444444"/>
          <w:sz w:val="24"/>
          <w:szCs w:val="24"/>
          <w:u w:val="singl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SunFire will transition to Multi-Factor Authentication (MFA) that will be going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live on 6/1. 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Tomorrow, agents will see the prompt below to pre-register for MFA in their profiles. 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3759200" cy="21971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19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Pre-registering is not mandatory, but it will speed up their login experience on 6/1.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5116684" cy="2648992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6684" cy="2648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(continued below)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Agents will see the attached document that will provide them with additional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details. It is accessible through the link pictured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4940300" cy="25019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50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left"/>
        <w:rPr>
          <w:b w:val="1"/>
          <w:color w:val="444444"/>
          <w:sz w:val="24"/>
          <w:szCs w:val="24"/>
          <w:highlight w:val="yellow"/>
        </w:rPr>
      </w:pPr>
      <w:r w:rsidDel="00000000" w:rsidR="00000000" w:rsidRPr="00000000">
        <w:rPr>
          <w:b w:val="1"/>
          <w:color w:val="444444"/>
          <w:sz w:val="24"/>
          <w:szCs w:val="24"/>
          <w:highlight w:val="yellow"/>
          <w:rtl w:val="0"/>
        </w:rPr>
        <w:t xml:space="preserve">Agents may also </w:t>
      </w:r>
      <w:hyperlink r:id="rId9">
        <w:r w:rsidDel="00000000" w:rsidR="00000000" w:rsidRPr="00000000">
          <w:rPr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CLICK HERE</w:t>
        </w:r>
      </w:hyperlink>
      <w:r w:rsidDel="00000000" w:rsidR="00000000" w:rsidRPr="00000000">
        <w:rPr>
          <w:b w:val="1"/>
          <w:color w:val="444444"/>
          <w:sz w:val="24"/>
          <w:szCs w:val="24"/>
          <w:highlight w:val="yellow"/>
          <w:rtl w:val="0"/>
        </w:rPr>
        <w:t xml:space="preserve"> to access the document..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This is a carrier requirement and a best practice, and we appreciate the support as we make this transition.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If you have any questions about this change or SunFire, please reach out to MCC Brokerage at 813-935-8361 or email </w:t>
      </w:r>
      <w:hyperlink r:id="rId10">
        <w:r w:rsidDel="00000000" w:rsidR="00000000" w:rsidRPr="00000000">
          <w:rPr>
            <w:b w:val="1"/>
            <w:color w:val="1155cc"/>
            <w:sz w:val="23"/>
            <w:szCs w:val="23"/>
            <w:u w:val="single"/>
            <w:rtl w:val="0"/>
          </w:rPr>
          <w:t xml:space="preserve">mcc@mccbrokerage.com</w:t>
        </w:r>
      </w:hyperlink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. </w:t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color w:val="999999"/>
        <w:rtl w:val="0"/>
      </w:rPr>
      <w:t xml:space="preserve">This communication is for agent/broker use only and comes directly from SunFire. Do not copy/distribute.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mcc@mccbrokerage.com" TargetMode="External"/><Relationship Id="rId9" Type="http://schemas.openxmlformats.org/officeDocument/2006/relationships/hyperlink" Target="https://drive.google.com/file/d/1Ys-G9phggZHTCZ11d9NO3Wqxx6XY8oro/view?usp=drive_link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